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8c6f86ddd07d4818a81b06becc0958330f7f20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</w:t>
      </w:r>
      <w:r>
        <w:t xml:space="preserve"> </w:t>
      </w:r>
      <w:r>
        <w:t xml:space="preserve">“has-already-run”</w:t>
      </w:r>
      <w:r>
        <w:t xml:space="preserve"> </w:t>
      </w:r>
      <w:r>
        <w:t xml:space="preserve">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7638e1a02198614508f583347b2011f0bc1926"/>
    <w:p>
      <w:pPr>
        <w:pStyle w:val="Heading1"/>
      </w:pPr>
      <w:r>
        <w:t xml:space="preserve">Group E —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+ UUID v7 backfill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b63927ae</w:t>
      </w:r>
      <w:r>
        <w:t xml:space="preserve">,</w:t>
      </w:r>
      <w:r>
        <w:t xml:space="preserve"> </w:t>
      </w:r>
      <w:r>
        <w:rPr>
          <w:rStyle w:val="VerbatimChar"/>
        </w:rPr>
        <w:t xml:space="preserve">0b93b3aa</w:t>
      </w:r>
      <w:r>
        <w:t xml:space="preserve">,</w:t>
      </w:r>
      <w:r>
        <w:t xml:space="preserve"> </w:t>
      </w:r>
      <w:r>
        <w:rPr>
          <w:rStyle w:val="VerbatimChar"/>
        </w:rPr>
        <w:t xml:space="preserve">602d7220</w:t>
      </w:r>
    </w:p>
    <w:bookmarkStart w:id="34" w:name="what-was-built-5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second one-shot SQL migration of Phase 1: every record in the three</w:t>
      </w:r>
      <w:r>
        <w:t xml:space="preserve"> </w:t>
      </w:r>
      <w:r>
        <w:t xml:space="preserve">primary stratigraphic tables gets a stable opaque identifier so that, in</w:t>
      </w:r>
      <w:r>
        <w:t xml:space="preserve"> </w:t>
      </w:r>
      <w:r>
        <w:t xml:space="preserve">later phases, the s3Dgraphy bridge can use it as the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foreign key</w:t>
      </w:r>
      <w:r>
        <w:t xml:space="preserve"> </w:t>
      </w:r>
      <w:r>
        <w:t xml:space="preserve">on the property-graph side. Per Reference Document v0.1 §3</w:t>
      </w:r>
      <w:r>
        <w:t xml:space="preserve"> </w:t>
      </w:r>
      <w:r>
        <w:rPr>
          <w:i/>
          <w:iCs/>
        </w:rPr>
        <w:t xml:space="preserve">“Identity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aligned”</w:t>
      </w:r>
      <w:r>
        <w:t xml:space="preserve">, the PyArchInit per-record UID and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will be the same value with two names; this migration creates the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§5.7). Monotonic per-process via a threading lock; when two calls fall within the same millisecond, the second increments the random portion to keep ordering. Will be replaced with</w:t>
            </w:r>
            <w:r>
              <w:t xml:space="preserve"> </w:t>
            </w:r>
            <w:r>
              <w:rPr>
                <w:rStyle w:val="VerbatimChar"/>
              </w:rPr>
              <w:t xml:space="preserve">uuid.uuid7()</w:t>
            </w:r>
            <w:r>
              <w:t xml:space="preserve"> </w:t>
            </w:r>
            <w:r>
              <w:t xml:space="preserve">once the project minimum bumps to Python 3.14+.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scripts/migrations/_2026_05_node_uuid_backfill_lib.py</w:t>
            </w:r>
          </w:p>
        </w:tc>
        <w:tc>
          <w:tcPr/>
          <w:p>
            <w:pPr>
              <w:pStyle w:val="Compact"/>
            </w:pPr>
            <w:r>
              <w:t xml:space="preserve">Pure-logic library.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lists the three target tables (</w:t>
            </w:r>
            <w:r>
              <w:rPr>
                <w:rStyle w:val="VerbatimChar"/>
              </w:rPr>
              <w:t xml:space="preserve">us_table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inventario_materiali_table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add_columns(db)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if missing and creates a partial unique index</w:t>
            </w:r>
            <w:r>
              <w:t xml:space="preserve"> </w:t>
            </w:r>
            <w:r>
              <w:rPr>
                <w:rStyle w:val="VerbatimChar"/>
              </w:rPr>
              <w:t xml:space="preserve">WHERE node_uuid IS NOT NULL</w:t>
            </w:r>
            <w:r>
              <w:t xml:space="preserve"> </w:t>
            </w:r>
            <w:r>
              <w:t xml:space="preserve">on each table — the partial predicate lets multiple NULL rows coexist during a partial-failure recovery.</w:t>
            </w:r>
            <w:r>
              <w:t xml:space="preserve"> </w:t>
            </w:r>
            <w:r>
              <w:rPr>
                <w:rStyle w:val="VerbatimChar"/>
              </w:rPr>
              <w:t xml:space="preserve">backfill_uuids(db)</w:t>
            </w:r>
            <w:r>
              <w:t xml:space="preserve"> </w:t>
            </w:r>
            <w:r>
              <w:t xml:space="preserve">assigns</w:t>
            </w:r>
            <w:r>
              <w:t xml:space="preserve"> </w:t>
            </w:r>
            <w:r>
              <w:rPr>
                <w:rStyle w:val="VerbatimChar"/>
              </w:rPr>
              <w:t xml:space="preserve">uuid7()</w:t>
            </w:r>
            <w:r>
              <w:t xml:space="preserve"> </w:t>
            </w:r>
            <w:r>
              <w:t xml:space="preserve">to every NULL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; returns a per-table count of rows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CLI front-end.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reports either</w:t>
            </w:r>
            <w:r>
              <w:t xml:space="preserve"> </w:t>
            </w:r>
            <w:r>
              <w:t xml:space="preserve">“needs ALTER TABLE + backfill (no col)”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 row(s) need backfill”</w:t>
            </w:r>
            <w:r>
              <w:t xml:space="preserve"> </w:t>
            </w:r>
            <w:r>
              <w:t xml:space="preserve">per table without mutating.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an explicit backup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Second entry in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: file picker → confirmation dialog showing the three target tables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 </w:t>
            </w:r>
            <w:r>
              <w:t xml:space="preserve">→ result dialog with backup path + per-table counts. Same idempotency guard as the vocab-alignment entry.</w:t>
            </w:r>
          </w:p>
        </w:tc>
      </w:tr>
    </w:tbl>
    <w:bookmarkEnd w:id="34"/>
    <w:bookmarkStart w:id="35" w:name="what-was-tested-5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 </w:t>
      </w:r>
      <w:r>
        <w:t xml:space="preserve">cover the generator: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instance, version field is 7, variant is RFC</w:t>
      </w:r>
      <w:r>
        <w:t xml:space="preserve"> </w:t>
      </w:r>
      <w:r>
        <w:t xml:space="preserve">4122 (10xx in byte 8), 1024 successive UUIDs are monotonically</w:t>
      </w:r>
      <w:r>
        <w:t xml:space="preserve"> </w:t>
      </w:r>
      <w:r>
        <w:t xml:space="preserve">ordered, the embedded timestamp falls within ±1 ms of wall clock.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 </w:t>
      </w:r>
      <w:r>
        <w:t xml:space="preserve">cover the migration: column added on each of the three tables, a</w:t>
      </w:r>
      <w:r>
        <w:t xml:space="preserve"> </w:t>
      </w:r>
      <w:r>
        <w:t xml:space="preserve">unique index named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survives the run, a second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run is a no-op (column count stays 1), backfill assigns</w:t>
      </w:r>
      <w:r>
        <w:t xml:space="preserve"> </w:t>
      </w:r>
      <w:r>
        <w:t xml:space="preserve">UUID v7 (canonical 36-char form, version 7 character at index 14,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xxxxxxxx-xxxx-7xxx-yxxx-xxxxxxxxxxxx</w:t>
      </w:r>
      <w:r>
        <w:t xml:space="preserve">), and a second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run returns counts of zero.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 dry-run on the real Volterra database</w:t>
      </w:r>
      <w:r>
        <w:t xml:space="preserve">: the CLI reports</w:t>
      </w:r>
      <w:r>
        <w:t xml:space="preserve"> </w:t>
      </w:r>
      <w:r>
        <w:rPr>
          <w:rStyle w:val="VerbatimChar"/>
        </w:rPr>
        <w:t xml:space="preserve">needs ALTER TABLE + backfill (no col)</w:t>
      </w:r>
      <w:r>
        <w:t xml:space="preserve"> </w:t>
      </w:r>
      <w:r>
        <w:t xml:space="preserve">for all three target tables —</w:t>
      </w:r>
      <w:r>
        <w:t xml:space="preserve"> </w:t>
      </w:r>
      <w:r>
        <w:t xml:space="preserve">none currently carry a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column. The migration is safe to</w:t>
      </w:r>
      <w:r>
        <w:t xml:space="preserve"> </w:t>
      </w:r>
      <w:r>
        <w:t xml:space="preserve">run; user has yet to authorise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 passed in 0.38 s</w:t>
      </w:r>
      <w:r>
        <w:t xml:space="preserve"> </w:t>
      </w:r>
      <w:r>
        <w:t xml:space="preserve">(29 sync + 12</w:t>
      </w:r>
      <w:r>
        <w:t xml:space="preserve"> </w:t>
      </w:r>
      <w:r>
        <w:t xml:space="preserve">migrations). Test count breakdown: 5 vocab_types + 14</w:t>
      </w:r>
      <w:r>
        <w:t xml:space="preserve"> </w:t>
      </w:r>
      <w:r>
        <w:t xml:space="preserve">vocab_provider_core + 2 vocab_provider_smoke + 5 i18n compat + 5</w:t>
      </w:r>
      <w:r>
        <w:t xml:space="preserve"> </w:t>
      </w:r>
      <w:r>
        <w:t xml:space="preserve">uuid7 + 3 migration common + 5 us_vocabulary_alignment + 4</w:t>
      </w:r>
      <w:r>
        <w:t xml:space="preserve"> </w:t>
      </w:r>
      <w:r>
        <w:t xml:space="preserve">node_uuid_backfill = 41.</w:t>
      </w:r>
    </w:p>
    <w:bookmarkEnd w:id="35"/>
    <w:bookmarkStart w:id="36" w:name="decisions-taken-5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Local UUID v7 instead of a third-party dependency.</w:t>
      </w:r>
      <w:r>
        <w:t xml:space="preserve"> </w:t>
      </w:r>
      <w:r>
        <w:t xml:space="preserve">Python’s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module gains</w:t>
      </w:r>
      <w:r>
        <w:t xml:space="preserve"> </w:t>
      </w:r>
      <w:r>
        <w:rPr>
          <w:rStyle w:val="VerbatimChar"/>
        </w:rPr>
        <w:t xml:space="preserve">uuid7()</w:t>
      </w:r>
      <w:r>
        <w:t xml:space="preserve"> </w:t>
      </w:r>
      <w:r>
        <w:t xml:space="preserve">only at 3.14 (currently</w:t>
      </w:r>
      <w:r>
        <w:t xml:space="preserve"> </w:t>
      </w:r>
      <w:r>
        <w:t xml:space="preserve">unreleased at the time of this work); the project still has to</w:t>
      </w:r>
      <w:r>
        <w:t xml:space="preserve"> </w:t>
      </w:r>
      <w:r>
        <w:t xml:space="preserve">support QGIS Python 3.9+. A 30-line in-repo implementation is</w:t>
      </w:r>
      <w:r>
        <w:t xml:space="preserve"> </w:t>
      </w:r>
      <w:r>
        <w:t xml:space="preserve">cheaper than adding a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package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routing it through the runtime installer. The public API is just</w:t>
      </w:r>
      <w:r>
        <w:t xml:space="preserve"> </w:t>
      </w:r>
      <w:r>
        <w:rPr>
          <w:rStyle w:val="VerbatimChar"/>
        </w:rPr>
        <w:t xml:space="preserve">uuid7() -&gt; uuid.UUID</w:t>
      </w:r>
      <w:r>
        <w:t xml:space="preserve"> </w:t>
      </w:r>
      <w:r>
        <w:t xml:space="preserve">so the swap to stdlib later is a one-line</w:t>
      </w:r>
      <w:r>
        <w:t xml:space="preserve"> </w:t>
      </w:r>
      <w:r>
        <w:t xml:space="preserve">import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Partial unique index instead of plain unique.</w:t>
      </w:r>
      <w:r>
        <w:t xml:space="preserve"> </w:t>
      </w:r>
      <w:r>
        <w:t xml:space="preserve">The index is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CREATE UNIQUE INDEX … WHERE node_uuid IS NOT NULL</w:t>
      </w:r>
      <w:r>
        <w:t xml:space="preserve">. This</w:t>
      </w:r>
      <w:r>
        <w:t xml:space="preserve"> </w:t>
      </w:r>
      <w:r>
        <w:t xml:space="preserve">matters during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recovery scenarios: if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succeeded but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failed midway, the partially</w:t>
      </w:r>
      <w:r>
        <w:t xml:space="preserve"> </w:t>
      </w:r>
      <w:r>
        <w:t xml:space="preserve">populated table has many NULL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rows — a plain unique</w:t>
      </w:r>
      <w:r>
        <w:t xml:space="preserve"> </w:t>
      </w:r>
      <w:r>
        <w:t xml:space="preserve">index would reject those because a single NULL is fine but two</w:t>
      </w:r>
      <w:r>
        <w:t xml:space="preserve"> </w:t>
      </w:r>
      <w:r>
        <w:t xml:space="preserve">NULLs are not under the SQLite default. The partial predicate</w:t>
      </w:r>
      <w:r>
        <w:t xml:space="preserve"> </w:t>
      </w:r>
      <w:r>
        <w:t xml:space="preserve">excludes NULLs from the uniqueness check, so a re-run picks up</w:t>
      </w:r>
      <w:r>
        <w:t xml:space="preserve"> </w:t>
      </w:r>
      <w:r>
        <w:t xml:space="preserve">where the previous one left off without dropping the index.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Three target tables only.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excluded per spec §4.5 last paragraph — burial records are out of</w:t>
      </w:r>
      <w:r>
        <w:t xml:space="preserve"> </w:t>
      </w:r>
      <w:r>
        <w:t xml:space="preserve">scope for the bridge in Phase 1.</w:t>
      </w:r>
      <w:r>
        <w:t xml:space="preserve"> </w:t>
      </w:r>
      <w:r>
        <w:rPr>
          <w:rStyle w:val="VerbatimChar"/>
        </w:rPr>
        <w:t xml:space="preserve">site_table</w:t>
      </w:r>
      <w:r>
        <w:t xml:space="preserve"> </w:t>
      </w:r>
      <w:r>
        <w:t xml:space="preserve">is also excluded</w:t>
      </w:r>
      <w:r>
        <w:t xml:space="preserve"> </w:t>
      </w:r>
      <w:r>
        <w:t xml:space="preserve">because site-level metadata maps to a different family of s3Dgraphy</w:t>
      </w:r>
      <w:r>
        <w:t xml:space="preserve"> </w:t>
      </w:r>
      <w:r>
        <w:t xml:space="preserve">nodes (handled at the property level, not as a typed graph node).</w:t>
      </w:r>
      <w:r>
        <w:t xml:space="preserve"> </w:t>
      </w:r>
      <w:r>
        <w:t xml:space="preserve">These exclusions are documented in the spec and will be revisited</w:t>
      </w:r>
      <w:r>
        <w:t xml:space="preserve"> </w:t>
      </w:r>
      <w:r>
        <w:t xml:space="preserve">if Phase 2 ingestion proves they need their own UUIDs.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PostgreSQL path in Phase 1.</w:t>
      </w:r>
      <w:r>
        <w:t xml:space="preserve"> </w:t>
      </w:r>
      <w:r>
        <w:t xml:space="preserve">SQLite-only for now. The same</w:t>
      </w:r>
      <w:r>
        <w:t xml:space="preserve"> </w:t>
      </w:r>
      <w:r>
        <w:t xml:space="preserve">logic will move to SQLAlchemy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lands and starts consuming 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</w:t>
      </w:r>
      <w:r>
        <w:t xml:space="preserve"> </w:t>
      </w:r>
      <w:r>
        <w:t xml:space="preserve">in real reads. The CLI already takes 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path so a future</w:t>
      </w:r>
      <w:r>
        <w:t xml:space="preserve"> </w:t>
      </w:r>
      <w:r>
        <w:t xml:space="preserve">PostgreSQL DSN form (</w:t>
      </w:r>
      <w:r>
        <w:rPr>
          <w:rStyle w:val="VerbatimChar"/>
        </w:rPr>
        <w:t xml:space="preserve">postgresql://…</w:t>
      </w:r>
      <w:r>
        <w:t xml:space="preserve">) plugs in cleanly.</w:t>
      </w:r>
    </w:p>
    <w:bookmarkEnd w:id="36"/>
    <w:bookmarkStart w:id="37" w:name="operational-notes-1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Volterra database</w:t>
      </w:r>
      <w:r>
        <w:t xml:space="preserve"> </w:t>
      </w:r>
      <w:r>
        <w:t xml:space="preserve">has none of the three target columns yet. The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will create all three columns, the partial unique indexes,</w:t>
      </w:r>
      <w:r>
        <w:t xml:space="preserve"> </w:t>
      </w:r>
      <w:r>
        <w:t xml:space="preserve">and assign UUID v7 to every existing row. With ~1500 US rows and</w:t>
      </w:r>
      <w:r>
        <w:t xml:space="preserve"> </w:t>
      </w:r>
      <w:r>
        <w:t xml:space="preserve">several hundred inventario_materiali / periodizzazione rows, the</w:t>
      </w:r>
      <w:r>
        <w:t xml:space="preserve"> </w:t>
      </w:r>
      <w:r>
        <w:t xml:space="preserve">whole migration takes a fraction of a second.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 strategy</w:t>
      </w:r>
      <w:r>
        <w:t xml:space="preserve"> </w:t>
      </w:r>
      <w:r>
        <w:t xml:space="preserve">is the same as Group D: the auto-backup is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&lt;db&gt;.pre_node_uuid_backfill_&lt;UTC&gt;</w:t>
      </w:r>
      <w:r>
        <w:t xml:space="preserve"> </w:t>
      </w:r>
      <w:r>
        <w:t xml:space="preserve">and lives next to the</w:t>
      </w:r>
      <w:r>
        <w:t xml:space="preserve"> </w:t>
      </w:r>
      <w:r>
        <w:t xml:space="preserve">source DB. Restoring is</w:t>
      </w:r>
      <w:r>
        <w:t xml:space="preserve"> </w:t>
      </w:r>
      <w:r>
        <w:rPr>
          <w:rStyle w:val="VerbatimChar"/>
        </w:rPr>
        <w:t xml:space="preserve">--rollback &lt;backup_path&gt;</w:t>
      </w:r>
      <w:r>
        <w:t xml:space="preserve">. Combined with</w:t>
      </w:r>
      <w:r>
        <w:t xml:space="preserve"> </w:t>
      </w:r>
      <w:r>
        <w:t xml:space="preserve">Group D’s vocab-alignment migration, a user can chain the two</w:t>
      </w:r>
      <w:r>
        <w:t xml:space="preserve"> </w:t>
      </w:r>
      <w:r>
        <w:t xml:space="preserve">rollbacks if needed (latest backup first, reverse-chronological).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2026-05-07T06:25:53Z</dcterms:created>
  <dcterms:modified xsi:type="dcterms:W3CDTF">2026-05-07T06:25:53Z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