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t xml:space="preserve">In progress — G.1/G.2/G.3 done; G.4 manual smoke gate pending; G.5 tag+push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50069ce80fb74b547b75e29658e7f31083de1dd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fixture’s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</w:t>
      </w:r>
      <w:r>
        <w:t xml:space="preserve"> </w:t>
      </w:r>
      <w:r>
        <w:t xml:space="preserve">“VocabProvider first; legacy hardcoded value if</w:t>
      </w:r>
      <w:r>
        <w:t xml:space="preserve"> </w:t>
      </w:r>
      <w:r>
        <w:t xml:space="preserve">missing; generic neutral fallback if even that is absent.”</w:t>
      </w:r>
      <w:r>
        <w:t xml:space="preserve"> </w:t>
      </w:r>
      <w:r>
        <w:t xml:space="preserve">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don’t have to mirror s3Dgraphy’s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</w:t>
      </w:r>
      <w:r>
        <w:t xml:space="preserve"> </w:t>
      </w:r>
      <w:r>
        <w:t xml:space="preserve">“downgraded”</w:t>
      </w:r>
      <w:r>
        <w:t xml:space="preserve"> </w:t>
      </w:r>
      <w:r>
        <w:t xml:space="preserve">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roup-g-release-packaging-5.1.0-alpha"/>
    <w:p>
      <w:pPr>
        <w:pStyle w:val="Heading1"/>
      </w:pPr>
      <w:r>
        <w:t xml:space="preserve">Group G — Release packaging (</w:t>
      </w:r>
      <w:r>
        <w:rPr>
          <w:rStyle w:val="VerbatimChar"/>
        </w:rPr>
        <w:t xml:space="preserve">5.1.0-alpha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 — G.1/G.2/G.3 done, G.4</w:t>
      </w:r>
      <w:r>
        <w:t xml:space="preserve"> </w:t>
      </w:r>
      <w:r>
        <w:t xml:space="preserve">manual smoke gate pending user action in QGIS, G.5 tag + push pending</w:t>
      </w:r>
      <w:r>
        <w:t xml:space="preserve"> </w:t>
      </w:r>
      <w:r>
        <w:t xml:space="preserve">G.4 sign-off.</w:t>
      </w:r>
    </w:p>
    <w:bookmarkStart w:id="45" w:name="X467dd459f61d873dd64462d83f86aac178df3a0"/>
    <w:p>
      <w:pPr>
        <w:pStyle w:val="Heading2"/>
      </w:pPr>
      <w:r>
        <w:t xml:space="preserve">What was done (G.1, G.2, G.3) — commit</w:t>
      </w:r>
      <w:r>
        <w:t xml:space="preserve"> </w:t>
      </w:r>
      <w:r>
        <w:rPr>
          <w:rStyle w:val="VerbatimChar"/>
        </w:rPr>
        <w:t xml:space="preserve">dff6f237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G.1</w:t>
      </w:r>
      <w:r>
        <w:t xml:space="preserve"> </w:t>
      </w:r>
      <w:r>
        <w:t xml:space="preserve">verified: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already pins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from Group A’s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. No change.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G.2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version line bumped from</w:t>
      </w:r>
      <w:r>
        <w:t xml:space="preserve"> </w:t>
      </w:r>
      <w:r>
        <w:rPr>
          <w:rStyle w:val="VerbatimChar"/>
        </w:rPr>
        <w:t xml:space="preserve">5.0.27-alpha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 The QGIS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block was prepended with the</w:t>
      </w:r>
      <w:r>
        <w:t xml:space="preserve"> </w:t>
      </w:r>
      <w:r>
        <w:t xml:space="preserve">Phase 1 entry summarising every deliverable: VocabProvider, vocab</w:t>
      </w:r>
      <w:r>
        <w:t xml:space="preserve"> </w:t>
      </w:r>
      <w:r>
        <w:t xml:space="preserve">alignment migration, UUID v7 backfill, 12-file refactor, and the</w:t>
      </w:r>
      <w:r>
        <w:t xml:space="preserve"> </w:t>
      </w:r>
      <w:r>
        <w:t xml:space="preserve">0.1.30→0.1.40 vendor swap.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G.3</w:t>
      </w:r>
      <w:r>
        <w:t xml:space="preserve">: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gets a full bilingual IT/EN section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 </w:t>
      </w:r>
      <w:r>
        <w:t xml:space="preserve">covering all six plan deliverables and the</w:t>
      </w:r>
      <w:r>
        <w:t xml:space="preserve"> </w:t>
      </w:r>
      <w:r>
        <w:t xml:space="preserve">file-level modifications. The section announces the rollback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pre-s3dgraphy-040</w:t>
      </w:r>
      <w:r>
        <w:t xml:space="preserve">) and the release tag the user will create after</w:t>
      </w:r>
      <w:r>
        <w:t xml:space="preserve"> </w:t>
      </w:r>
      <w:r>
        <w:t xml:space="preserve">the smoke gate (</w:t>
      </w:r>
      <w:r>
        <w:rPr>
          <w:rStyle w:val="VerbatimChar"/>
        </w:rPr>
        <w:t xml:space="preserve">phase1-foundation-5.1.0-alpha</w:t>
      </w:r>
      <w:r>
        <w:t xml:space="preserve">).</w:t>
      </w:r>
    </w:p>
    <w:p>
      <w:pPr>
        <w:pStyle w:val="FirstParagraph"/>
      </w:pPr>
      <w:r>
        <w:t xml:space="preserve">All 42 unit tests still pass post-bump (no regressions from version</w:t>
      </w:r>
      <w:r>
        <w:t xml:space="preserve"> </w:t>
      </w:r>
      <w:r>
        <w:t xml:space="preserve">metadata changes).</w:t>
      </w:r>
    </w:p>
    <w:bookmarkEnd w:id="45"/>
    <w:bookmarkStart w:id="48" w:name="what-is-pending-g.4-g.5"/>
    <w:p>
      <w:pPr>
        <w:pStyle w:val="Heading2"/>
      </w:pPr>
      <w:r>
        <w:t xml:space="preserve">What is pending (G.4, G.5)</w:t>
      </w:r>
    </w:p>
    <w:bookmarkStart w:id="46" w:name="g.4-manual-smoke-gate-in-qgis"/>
    <w:p>
      <w:pPr>
        <w:pStyle w:val="Heading3"/>
      </w:pPr>
      <w:r>
        <w:t xml:space="preserve">G.4 — Manual smoke gate in QGIS</w:t>
      </w:r>
    </w:p>
    <w:p>
      <w:pPr>
        <w:pStyle w:val="FirstParagraph"/>
      </w:pPr>
      <w:r>
        <w:t xml:space="preserve">User-driven; the controller cannot run QGIS. The gate is the spec’s</w:t>
      </w:r>
      <w:r>
        <w:t xml:space="preserve"> </w:t>
      </w:r>
      <w:r>
        <w:t xml:space="preserve">required pre-tag check (§7.4 step 4 + plan §G.4). The user opens QGIS,</w:t>
      </w:r>
      <w:r>
        <w:t xml:space="preserve"> </w:t>
      </w:r>
      <w:r>
        <w:t xml:space="preserve">loads the Volterra project (or any other PyArchInit-managed</w:t>
      </w:r>
      <w:r>
        <w:t xml:space="preserve"> </w:t>
      </w:r>
      <w:r>
        <w:t xml:space="preserve">SQLite/PostgreSQL project), and verifies:</w:t>
      </w:r>
    </w:p>
    <w:p>
      <w:pPr>
        <w:pStyle w:val="Compact"/>
        <w:numPr>
          <w:ilvl w:val="0"/>
          <w:numId w:val="1024"/>
        </w:numPr>
      </w:pPr>
      <w:r>
        <w:t xml:space="preserve">The plugin loads without exceptions in the QGIS message log.</w:t>
      </w:r>
    </w:p>
    <w:p>
      <w:pPr>
        <w:pStyle w:val="Compact"/>
        <w:numPr>
          <w:ilvl w:val="0"/>
          <w:numId w:val="1024"/>
        </w:numPr>
      </w:pPr>
      <w:r>
        <w:t xml:space="preserve">Opening a US/USM record opens the form successfully.</w:t>
      </w:r>
    </w:p>
    <w:p>
      <w:pPr>
        <w:pStyle w:val="Compact"/>
        <w:numPr>
          <w:ilvl w:val="0"/>
          <w:numId w:val="1024"/>
        </w:numPr>
      </w:pPr>
      <w:r>
        <w:t xml:space="preserve">The unit-type combo box (</w:t>
      </w:r>
      <w:r>
        <w:rPr>
          <w:rStyle w:val="VerbatimChar"/>
        </w:rPr>
        <w:t xml:space="preserve">comboBox_unita_tipo</w:t>
      </w:r>
      <w:r>
        <w:t xml:space="preserve">) is populated and</w:t>
      </w:r>
      <w:r>
        <w:t xml:space="preserve"> </w:t>
      </w:r>
      <w:r>
        <w:t xml:space="preserve">includes the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Generating a Harris matrix succeeds.</w:t>
      </w:r>
    </w:p>
    <w:p>
      <w:pPr>
        <w:pStyle w:val="Compact"/>
        <w:numPr>
          <w:ilvl w:val="0"/>
          <w:numId w:val="1024"/>
        </w:numPr>
      </w:pPr>
      <w:r>
        <w:t xml:space="preserve">The two new entries in the pyArchInit Maintenance menu appear:</w:t>
      </w:r>
      <w:r>
        <w:t xml:space="preserve"> </w:t>
      </w:r>
      <w:r>
        <w:t xml:space="preserve">“Migrazioni → Allinea vocabolario US…”</w:t>
      </w:r>
      <w:r>
        <w:t xml:space="preserve"> </w:t>
      </w:r>
      <w:r>
        <w:t xml:space="preserve">and</w:t>
      </w:r>
      <w:r>
        <w:t xml:space="preserve"> </w:t>
      </w:r>
      <w:r>
        <w:t xml:space="preserve">“Migrazioni → Backfill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…”</w:t>
      </w:r>
      <w:r>
        <w:t xml:space="preserve">. Optionally clicking either should open a file picker</w:t>
      </w:r>
      <w:r>
        <w:t xml:space="preserve"> </w:t>
      </w:r>
      <w:r>
        <w:t xml:space="preserve">without raising an exception (no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required at this</w:t>
      </w:r>
      <w:r>
        <w:t xml:space="preserve"> </w:t>
      </w:r>
      <w:r>
        <w:t xml:space="preserve">gate; the dry-run path is enough).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ATTENZIONE</w:t>
      </w:r>
      <w:r>
        <w:t xml:space="preserve">/</w:t>
      </w:r>
      <w:r>
        <w:rPr>
          <w:rStyle w:val="VerbatimChar"/>
        </w:rPr>
        <w:t xml:space="preserve">Error fixing view</w:t>
      </w:r>
      <w:r>
        <w:t xml:space="preserve"> </w:t>
      </w:r>
      <w:r>
        <w:t xml:space="preserve">warnings in the QGIS log</w:t>
      </w:r>
      <w:r>
        <w:t xml:space="preserve"> </w:t>
      </w:r>
      <w:r>
        <w:t xml:space="preserve">related to s3Dgraphy or the Phase 1 refactors.</w:t>
      </w:r>
    </w:p>
    <w:p>
      <w:pPr>
        <w:pStyle w:val="FirstParagraph"/>
      </w:pPr>
      <w:r>
        <w:t xml:space="preserve">If anything fails, the user can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to</w:t>
      </w:r>
      <w:r>
        <w:t xml:space="preserve"> </w:t>
      </w:r>
      <w:r>
        <w:t xml:space="preserve">return to the pre-Phase-1 state. The migration scripts are independent</w:t>
      </w:r>
      <w:r>
        <w:t xml:space="preserve"> </w:t>
      </w:r>
      <w:r>
        <w:t xml:space="preserve">and can be invoked manually from CLI for debugging.</w:t>
      </w:r>
    </w:p>
    <w:bookmarkEnd w:id="46"/>
    <w:bookmarkStart w:id="47" w:name="g.5-tag-and-push"/>
    <w:p>
      <w:pPr>
        <w:pStyle w:val="Heading3"/>
      </w:pPr>
      <w:r>
        <w:t xml:space="preserve">G.5 — Tag and push</w:t>
      </w:r>
    </w:p>
    <w:p>
      <w:pPr>
        <w:pStyle w:val="FirstParagraph"/>
      </w:pPr>
      <w:r>
        <w:t xml:space="preserve">Run after G.4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2026-05-07T07:25:45Z</dcterms:created>
  <dcterms:modified xsi:type="dcterms:W3CDTF">2026-05-07T07:25:45Z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