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StratiGraph WP5 / T5.4 — PyArchInit ↔ s3Dgraphy Integration</w:t>
      </w:r>
    </w:p>
    <w:p>
      <w:pPr>
        <w:pStyle w:val="Subtitle"/>
      </w:pPr>
      <w:r>
        <w:t xml:space="preserve">Development Log — Phase 1 (Foundation)</w:t>
      </w:r>
    </w:p>
    <w:p>
      <w:pPr>
        <w:pStyle w:val="Author"/>
      </w:pPr>
      <w:r>
        <w:t xml:space="preserve">Enzo Cocca (Adarte, T5.4 Deputy Lead)</w:t>
      </w:r>
    </w:p>
    <w:p>
      <w:pPr>
        <w:pStyle w:val="Date"/>
      </w:pPr>
      <w:r>
        <w:t xml:space="preserve">Last updated: 6 May 2026</w:t>
      </w:r>
    </w:p>
    <w:bookmarkStart w:id="9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rolling development log for Task 5.4 of WP5 — PyArchInit ↔ s3Dgraphy</w:t>
      </w:r>
      <w:r>
        <w:t xml:space="preserve"> </w:t>
      </w:r>
      <w:r>
        <w:t xml:space="preserve">integration. It is updated continuously as work progresses on the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branch of the PyArchInit plugin and is intended to keep</w:t>
      </w:r>
      <w:r>
        <w:t xml:space="preserve"> </w:t>
      </w:r>
      <w:r>
        <w:t xml:space="preserve">partner reviewers in sync between formal milestones (meeting minutes, Reference</w:t>
      </w:r>
      <w:r>
        <w:t xml:space="preserve"> </w:t>
      </w:r>
      <w:r>
        <w:t xml:space="preserve">Document revisions). Each entry corresponds to a logical work unit (</w:t>
      </w:r>
      <w:r>
        <w:t xml:space="preserve">“Group”</w:t>
      </w:r>
      <w:r>
        <w:t xml:space="preserve"> </w:t>
      </w:r>
      <w:r>
        <w:t xml:space="preserve">in</w:t>
      </w:r>
      <w:r>
        <w:t xml:space="preserve"> </w:t>
      </w:r>
      <w:r>
        <w:t xml:space="preserve">the implementation plan) and lists what was built, what was tested, the</w:t>
      </w:r>
      <w:r>
        <w:t xml:space="preserve"> </w:t>
      </w:r>
      <w:r>
        <w:t xml:space="preserve">commits, and any decisions taken.</w:t>
      </w:r>
    </w:p>
    <w:p>
      <w:pPr>
        <w:pStyle w:val="BodyText"/>
      </w:pPr>
      <w:r>
        <w:t xml:space="preserve">The authoritative documents remain:</w:t>
      </w:r>
    </w:p>
    <w:p>
      <w:pPr>
        <w:pStyle w:val="Compact"/>
        <w:numPr>
          <w:ilvl w:val="0"/>
          <w:numId w:val="1001"/>
        </w:numPr>
      </w:pPr>
      <w:r>
        <w:t xml:space="preserve">T5.4 Reference Document v0.1 (Emanuel Demetrescu, 6 May 2026) — high-level</w:t>
      </w:r>
      <w:r>
        <w:t xml:space="preserve"> </w:t>
      </w:r>
      <w:r>
        <w:t xml:space="preserve">contract for the integration.</w:t>
      </w:r>
    </w:p>
    <w:p>
      <w:pPr>
        <w:pStyle w:val="Compact"/>
        <w:numPr>
          <w:ilvl w:val="0"/>
          <w:numId w:val="1001"/>
        </w:numPr>
      </w:pPr>
      <w:r>
        <w:t xml:space="preserve">Implementation plan (</w:t>
      </w:r>
      <w:r>
        <w:rPr>
          <w:rStyle w:val="VerbatimChar"/>
        </w:rPr>
        <w:t xml:space="preserve">docs/superpowers/plans/2026-05-06-phase-1-foundation.md</w:t>
      </w:r>
      <w:r>
        <w:t xml:space="preserve">) —</w:t>
      </w:r>
      <w:r>
        <w:t xml:space="preserve"> </w:t>
      </w:r>
      <w:r>
        <w:t xml:space="preserve">the technical task breakdown executed here.</w:t>
      </w:r>
    </w:p>
    <w:p>
      <w:pPr>
        <w:pStyle w:val="Compact"/>
        <w:numPr>
          <w:ilvl w:val="0"/>
          <w:numId w:val="1001"/>
        </w:numPr>
      </w:pPr>
      <w:r>
        <w:t xml:space="preserve">Spec (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) —</w:t>
      </w:r>
      <w:r>
        <w:t xml:space="preserve"> </w:t>
      </w:r>
      <w:r>
        <w:t xml:space="preserve">the design proposal aligned to both the meeting minutes and the Reference</w:t>
      </w:r>
      <w:r>
        <w:t xml:space="preserve"> </w:t>
      </w:r>
      <w:r>
        <w:t xml:space="preserve">Document.</w:t>
      </w:r>
    </w:p>
    <w:p>
      <w:pPr>
        <w:pStyle w:val="FirstParagraph"/>
      </w:pPr>
      <w:r>
        <w:t xml:space="preserve">This log is regenerated to DOCX (</w:t>
      </w:r>
      <w:r>
        <w:rPr>
          <w:rStyle w:val="VerbatimChar"/>
        </w:rPr>
        <w:t xml:space="preserve">T5.4_PyArchInit_Dev_Log.docx</w:t>
      </w:r>
      <w:r>
        <w:t xml:space="preserve">) whenever a new</w:t>
      </w:r>
      <w:r>
        <w:t xml:space="preserve"> </w:t>
      </w:r>
      <w:r>
        <w:t xml:space="preserve">Group is completed, so the latest version can be uploaded to Teams.</w:t>
      </w:r>
    </w:p>
    <w:p>
      <w:r>
        <w:pict>
          <v:rect style="width:0;height:1.5pt" o:hralign="center" o:hrstd="t" o:hr="t"/>
        </w:pict>
      </w:r>
    </w:p>
    <w:bookmarkEnd w:id="9"/>
    <w:bookmarkStart w:id="10" w:name="phase-1-foundation-overview"/>
    <w:p>
      <w:pPr>
        <w:pStyle w:val="Heading1"/>
      </w:pPr>
      <w:r>
        <w:t xml:space="preserve">Phase 1 (Foundation) — overview</w:t>
      </w:r>
    </w:p>
    <w:p>
      <w:pPr>
        <w:pStyle w:val="FirstParagraph"/>
      </w:pPr>
      <w:r>
        <w:t xml:space="preserve">Phase 1 closes action items AI01–AI05 from the T5.4 meeting of 4 May 2026. The</w:t>
      </w:r>
      <w:r>
        <w:t xml:space="preserve"> </w:t>
      </w:r>
      <w:r>
        <w:t xml:space="preserve">six deliverables are:</w:t>
      </w:r>
    </w:p>
    <w:p>
      <w:pPr>
        <w:pStyle w:val="Compact"/>
        <w:numPr>
          <w:ilvl w:val="0"/>
          <w:numId w:val="1002"/>
        </w:numPr>
      </w:pPr>
      <w:r>
        <w:t xml:space="preserve">Vendor s3Dgraphy 0.1.30 → 0.1.40 inside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that parses the three s3Dgraphy JSON pillars directly</w:t>
      </w:r>
      <w:r>
        <w:t xml:space="preserve"> </w:t>
      </w:r>
      <w:r>
        <w:t xml:space="preserve">(Option B per Reference Document v0.1 §4.5).</w:t>
      </w:r>
    </w:p>
    <w:p>
      <w:pPr>
        <w:pStyle w:val="Compact"/>
        <w:numPr>
          <w:ilvl w:val="0"/>
          <w:numId w:val="1002"/>
        </w:numPr>
      </w:pPr>
      <w:r>
        <w:t xml:space="preserve">Refactor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as a backwards-compatible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One-shot vocabulary alignment migration:</w:t>
      </w:r>
      <w:r>
        <w:t xml:space="preserve"> 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UUID v7 backfill on the three primary tables (</w:t>
      </w:r>
      <w:r>
        <w:rPr>
          <w:rStyle w:val="VerbatimChar"/>
        </w:rPr>
        <w:t xml:space="preserve">us_table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inventario_materiali_table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) using a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with a partial unique index.</w:t>
      </w:r>
    </w:p>
    <w:p>
      <w:pPr>
        <w:pStyle w:val="Compact"/>
        <w:numPr>
          <w:ilvl w:val="0"/>
          <w:numId w:val="1002"/>
        </w:numPr>
      </w:pPr>
      <w:r>
        <w:t xml:space="preserve">Refactor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so they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 EM 1.4 tables.</w:t>
      </w:r>
    </w:p>
    <w:p>
      <w:pPr>
        <w:pStyle w:val="FirstParagraph"/>
      </w:pPr>
      <w:r>
        <w:t xml:space="preserve">Plan structure: 8 Groups (0 + A through G), 37 tasks, ~150 steps,</w:t>
      </w:r>
      <w:r>
        <w:t xml:space="preserve"> </w:t>
      </w:r>
      <w:r>
        <w:t xml:space="preserve">≈ 30 commits expected. The release that closes Phase 1 is tagged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. A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</w:t>
      </w:r>
      <w:r>
        <w:t xml:space="preserve"> </w:t>
      </w:r>
      <w:r>
        <w:t xml:space="preserve">created at the start of execution; everything is recoverable.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Pre-flight &amp; rollback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Vendor s3Dgraphy 0.1.30 → 0.1.40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VocabProvider (Option B per-tool JSON parsing)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i18n adapter refactor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USVA/USVB → USVs, USVC → USVn migration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column + UUID v7 backfill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12-file</w:t>
            </w:r>
            <w:r>
              <w:t xml:space="preserve"> </w:t>
            </w:r>
            <w:r>
              <w:rPr>
                <w:rStyle w:val="VerbatimChar"/>
              </w:rPr>
              <w:t xml:space="preserve">modules/s3dgraphy/</w:t>
            </w:r>
            <w:r>
              <w:t xml:space="preserve"> </w:t>
            </w: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Release packaging (5.1.0-alpha)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roup-0-pre-flight-rollback-safety"/>
    <w:p>
      <w:pPr>
        <w:pStyle w:val="Heading1"/>
      </w:pPr>
      <w:r>
        <w:t xml:space="preserve">Group 0 — Pre-flight &amp; rollback safety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52b6f865</w:t>
      </w:r>
      <w:r>
        <w:t xml:space="preserve">,</w:t>
      </w:r>
      <w:r>
        <w:t xml:space="preserve"> </w:t>
      </w:r>
      <w:r>
        <w:rPr>
          <w:rStyle w:val="VerbatimChar"/>
        </w:rPr>
        <w:t xml:space="preserve">3ec3fb0a</w:t>
      </w:r>
    </w:p>
    <w:bookmarkStart w:id="11" w:name="what-was-built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3"/>
        </w:numPr>
      </w:pPr>
      <w:r>
        <w:t xml:space="preserve">A git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 created at HEAD</w:t>
      </w:r>
      <w:r>
        <w:t xml:space="preserve"> </w:t>
      </w:r>
      <w:r>
        <w:rPr>
          <w:rStyle w:val="VerbatimChar"/>
        </w:rPr>
        <w:t xml:space="preserve">cf11f02</w:t>
      </w:r>
      <w:r>
        <w:t xml:space="preserve"> </w:t>
      </w:r>
      <w:r>
        <w:t xml:space="preserve">as the rollback</w:t>
      </w:r>
      <w:r>
        <w:t xml:space="preserve"> </w:t>
      </w:r>
      <w:r>
        <w:t xml:space="preserve">point for the entire Phase 1. The tag is local-only at the moment; it will be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together with the release tag in the final Group G step.</w:t>
      </w:r>
    </w:p>
    <w:p>
      <w:pPr>
        <w:pStyle w:val="Compact"/>
        <w:numPr>
          <w:ilvl w:val="0"/>
          <w:numId w:val="1003"/>
        </w:numPr>
      </w:pPr>
      <w:r>
        <w:t xml:space="preserve">An inventory of the legacy s3Dgraphy usage was captured under</w:t>
      </w:r>
      <w:r>
        <w:t xml:space="preserve"> </w:t>
      </w:r>
      <w:r>
        <w:rPr>
          <w:rStyle w:val="VerbatimChar"/>
        </w:rPr>
        <w:t xml:space="preserve">.scratch/s3dgraphy-inventory.txt</w:t>
      </w:r>
      <w:r>
        <w:t xml:space="preserve"> </w:t>
      </w:r>
      <w:r>
        <w:t xml:space="preserve">(gitignored). It records every</w:t>
      </w:r>
      <w:r>
        <w:t xml:space="preserve"> </w:t>
      </w:r>
      <w:r>
        <w:t xml:space="preserve">string-tagged</w:t>
      </w:r>
      <w:r>
        <w:t xml:space="preserve"> </w:t>
      </w:r>
      <w:r>
        <w:rPr>
          <w:rStyle w:val="VerbatimChar"/>
        </w:rPr>
        <w:t xml:space="preserve">node.node_type = '&lt;literal&gt;'</w:t>
      </w:r>
      <w:r>
        <w:t xml:space="preserve"> </w:t>
      </w:r>
      <w:r>
        <w:t xml:space="preserve">assignment and every reference to</w:t>
      </w:r>
      <w:r>
        <w:t xml:space="preserve"> </w:t>
      </w:r>
      <w:r>
        <w:t xml:space="preserve">the hard-coded</w:t>
      </w:r>
      <w:r>
        <w:t xml:space="preserve"> </w:t>
      </w:r>
      <w:r>
        <w:rPr>
          <w:rStyle w:val="VerbatimChar"/>
        </w:rPr>
        <w:t xml:space="preserve">CRM_CLASSES</w:t>
      </w:r>
      <w:r>
        <w:t xml:space="preserve"> </w:t>
      </w:r>
      <w:r>
        <w:t xml:space="preserve">dictionary in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. The plan had</w:t>
      </w:r>
      <w:r>
        <w:t xml:space="preserve"> </w:t>
      </w:r>
      <w:r>
        <w:t xml:space="preserve">estimated three string-literal assignments in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; the</w:t>
      </w:r>
      <w:r>
        <w:t xml:space="preserve"> </w:t>
      </w:r>
      <w:r>
        <w:t xml:space="preserve">actual count is one (line 113), with two further non-literal assignments</w:t>
      </w:r>
      <w:r>
        <w:t xml:space="preserve"> </w:t>
      </w:r>
      <w:r>
        <w:t xml:space="preserve">(line 194 uses</w:t>
      </w:r>
      <w:r>
        <w:t xml:space="preserve"> </w:t>
      </w:r>
      <w:r>
        <w:rPr>
          <w:rStyle w:val="VerbatimChar"/>
        </w:rPr>
        <w:t xml:space="preserve">.get(...)</w:t>
      </w:r>
      <w:r>
        <w:t xml:space="preserve">) — Group F will reconcile against this evidence.</w:t>
      </w:r>
    </w:p>
    <w:p>
      <w:pPr>
        <w:pStyle w:val="Compact"/>
        <w:numPr>
          <w:ilvl w:val="0"/>
          <w:numId w:val="1003"/>
        </w:numPr>
      </w:pPr>
      <w:r>
        <w:t xml:space="preserve">A pytest scaffold for the upcoming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 suite was created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. It includes a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exposing five fixtures and</w:t>
      </w:r>
      <w:r>
        <w:t xml:space="preserve"> </w:t>
      </w:r>
      <w:r>
        <w:t xml:space="preserve">three sample JSON payloads modelled on the canonical s3Dgraphy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) — all with no trailing space, matching the 0.1.40</w:t>
      </w:r>
      <w:r>
        <w:t xml:space="preserve"> </w:t>
      </w:r>
      <w:r>
        <w:t xml:space="preserve">release shape.</w:t>
      </w:r>
    </w:p>
    <w:p>
      <w:pPr>
        <w:pStyle w:val="Compact"/>
        <w:numPr>
          <w:ilvl w:val="0"/>
          <w:numId w:val="1003"/>
        </w:numPr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was tightened from</w:t>
      </w:r>
      <w:r>
        <w:t xml:space="preserve"> </w:t>
      </w:r>
      <w:r>
        <w:rPr>
          <w:rStyle w:val="VerbatimChar"/>
        </w:rPr>
        <w:t xml:space="preserve">/tests/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plus</w:t>
      </w:r>
      <w:r>
        <w:t xml:space="preserve"> </w:t>
      </w:r>
      <w:r>
        <w:t xml:space="preserve">a re-include</w:t>
      </w:r>
      <w:r>
        <w:t xml:space="preserve"> </w:t>
      </w:r>
      <w:r>
        <w:rPr>
          <w:rStyle w:val="VerbatimChar"/>
        </w:rPr>
        <w:t xml:space="preserve">!/tests/sync/</w:t>
      </w:r>
      <w:r>
        <w:t xml:space="preserve">, so newly added test files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are</w:t>
      </w:r>
      <w:r>
        <w:t xml:space="preserve"> </w:t>
      </w:r>
      <w:r>
        <w:t xml:space="preserve">tracked while legacy already-tracked test files in the rest of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are</w:t>
      </w:r>
      <w:r>
        <w:t xml:space="preserve"> </w:t>
      </w:r>
      <w:r>
        <w:t xml:space="preserve">unaffected.</w:t>
      </w:r>
    </w:p>
    <w:bookmarkEnd w:id="11"/>
    <w:bookmarkStart w:id="12" w:name="what-was-tested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4"/>
        </w:numPr>
      </w:pPr>
      <w:r>
        <w:t xml:space="preserve">All three JSON fixtures parse cleanly with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python3 -m pytest tests/sync/ --collect-only -q</w:t>
      </w:r>
      <w:r>
        <w:t xml:space="preserve"> </w:t>
      </w:r>
      <w:r>
        <w:t xml:space="preserve">exits cleanly with</w:t>
      </w:r>
      <w:r>
        <w:t xml:space="preserve"> </w:t>
      </w:r>
      <w:r>
        <w:t xml:space="preserve">“no tests collected”</w:t>
      </w:r>
      <w:r>
        <w:t xml:space="preserve"> </w:t>
      </w:r>
      <w:r>
        <w:t xml:space="preserve">(because no test files exist yet — they arrive in</w:t>
      </w:r>
      <w:r>
        <w:t xml:space="preserve"> </w:t>
      </w:r>
      <w:r>
        <w:t xml:space="preserve">Group B).</w:t>
      </w:r>
    </w:p>
    <w:p>
      <w:pPr>
        <w:pStyle w:val="Compact"/>
        <w:numPr>
          <w:ilvl w:val="0"/>
          <w:numId w:val="1004"/>
        </w:numPr>
      </w:pPr>
      <w:r>
        <w:t xml:space="preserve">Spec compliance review (independent subagent, no shared context with the</w:t>
      </w:r>
      <w:r>
        <w:t xml:space="preserve"> </w:t>
      </w:r>
      <w:r>
        <w:t xml:space="preserve">implementer): all nine verification checks pass; one observation about plan</w:t>
      </w:r>
      <w:r>
        <w:t xml:space="preserve"> </w:t>
      </w:r>
      <w:r>
        <w:t xml:space="preserve">accuracy on the inventory count (non-blocking).</w:t>
      </w:r>
    </w:p>
    <w:bookmarkEnd w:id="12"/>
    <w:bookmarkStart w:id="13" w:name="decisions-taken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vocab_dir</w:t>
      </w:r>
      <w:r>
        <w:t xml:space="preserve"> </w:t>
      </w:r>
      <w:r>
        <w:t xml:space="preserve">pytest fixture writes the sample JSONs into</w:t>
      </w:r>
      <w:r>
        <w:t xml:space="preserve"> </w:t>
      </w:r>
      <w:r>
        <w:rPr>
          <w:rStyle w:val="VerbatimChar"/>
        </w:rPr>
        <w:t xml:space="preserve">tmp_path/JSON_config/</w:t>
      </w:r>
      <w:r>
        <w:t xml:space="preserve"> </w:t>
      </w:r>
      <w:r>
        <w:t xml:space="preserve">using the canonical filenames. This means downstream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tests</w:t>
      </w:r>
      <w:r>
        <w:t xml:space="preserve"> </w:t>
      </w:r>
      <w:r>
        <w:t xml:space="preserve">exercise the post-typo path; a separate test in Group B covers the legacy</w:t>
      </w:r>
      <w:r>
        <w:t xml:space="preserve"> </w:t>
      </w:r>
      <w:r>
        <w:t xml:space="preserve">trailing-space filename of 0.1.30 explicitly so the migration scenario stays</w:t>
      </w:r>
      <w:r>
        <w:t xml:space="preserve"> </w:t>
      </w:r>
      <w:r>
        <w:t xml:space="preserve">pinned.</w:t>
      </w:r>
    </w:p>
    <w:p>
      <w:pPr>
        <w:pStyle w:val="Compact"/>
        <w:numPr>
          <w:ilvl w:val="0"/>
          <w:numId w:val="1005"/>
        </w:numPr>
      </w:pPr>
      <w:r>
        <w:t xml:space="preserve">The rollback tag is annotated (not lightweight) so its message survives the</w:t>
      </w:r>
      <w:r>
        <w:t xml:space="preserve"> </w:t>
      </w:r>
      <w:r>
        <w:t xml:space="preserve">final push; it carries the explicit sentence:</w:t>
      </w:r>
      <w:r>
        <w:t xml:space="preserve"> </w:t>
      </w:r>
      <w:r>
        <w:rPr>
          <w:i/>
          <w:iCs/>
        </w:rPr>
        <w:t xml:space="preserve">“Rollback point before</w:t>
      </w:r>
      <w:r>
        <w:rPr>
          <w:i/>
          <w:iCs/>
        </w:rPr>
        <w:t xml:space="preserve"> </w:t>
      </w:r>
      <w:r>
        <w:rPr>
          <w:i/>
          <w:iCs/>
        </w:rPr>
        <w:t xml:space="preserve">s3Dgraphy 0.1.30→0.1.40 vendor swap and Phase 1 refactor.”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StratiGraph WP5 / T5.4 — PyArchInit ↔ s3Dgraphy Integration</dc:title>
  <dc:creator>Enzo Cocca (Adarte, T5.4 Deputy Lead)</dc:creator>
  <cp:keywords/>
  <dcterms:created xsi:type="dcterms:W3CDTF">2026-05-06T17:40:26Z</dcterms:created>
  <dcterms:modified xsi:type="dcterms:W3CDTF">2026-05-06T17:40:26Z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Last updated: 6 May 2026</vt:lpwstr>
  </property>
  <property fmtid="{D5CDD505-2E9C-101B-9397-08002B2CF9AE}" pid="3" name="subtitle">
    <vt:lpwstr>Development Log — Phase 1 (Foundation)</vt:lpwstr>
  </property>
</Properties>
</file>