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 for Empirical Software Engineering</w:t>
      </w:r>
    </w:p>
    <w:p>
      <w:pPr>
        <w:widowControl/>
      </w:pPr>
      <w:r>
        <w:t>27 September 2026</w:t>
      </w:r>
    </w:p>
    <w:p>
      <w:pPr>
        <w:widowControl/>
      </w:pPr>
      <w:r>
        <w:t>Dear Editors,</w:t>
      </w:r>
    </w:p>
    <w:p>
      <w:pPr>
        <w:widowControl/>
      </w:pPr>
      <w:r>
        <w:t>Please consider my manuscript, "Source Conditioned Completion Contracts in an LLM Agent Harness", as a Research Paper for the special issue "Agentic Software Engineering: The Rise of AI Teammates".</w:t>
      </w:r>
    </w:p>
    <w:p>
      <w:pPr>
        <w:widowControl/>
      </w:pPr>
      <w:r>
        <w:t>The contribution concerns an agent harness interface: a registered, pre-generation source identifier selects an evidence-rich or minimal factual-QA terminal contract. The harness retains terminal processing and independent host-side answer grading. The paper documents the location of the router, the contract boundary, host-generated delivery metadata, and the distinction between response delivery and factual correctness.</w:t>
      </w:r>
    </w:p>
    <w:p>
      <w:pPr>
        <w:widowControl/>
      </w:pPr>
      <w:r>
        <w:t>The empirical evaluation compares the same agent configuration and model identifier within task pairs. The final frozen v5 campaign contains 600 unique identities shared across four models, with 2,400 model-task pairs and 4,800 assigned arm windows. Qwen and DeepSeek satisfy their original model-specific joint gates with 25.76% and 21.34% recorded logical-token savings. All four model lanes are reported. GLM and GPT-OSS do not satisfy the zero-integrity condition and are not presented as confirmed results.</w:t>
      </w:r>
    </w:p>
    <w:p>
      <w:pPr>
        <w:widowControl/>
      </w:pPr>
      <w:r>
        <w:t>The manuscript fits the special issue's Architectures for Agents, Testing and Evaluation, and Economic Cost and Impact topics. Its software engineering contribution is an implemented terminal-interface policy and an empirical evaluation of that policy's episode-level cost and accepted-answer outcome. The scope is explicitly source-labelled QA. I do not claim repository-editing improvements, greater autonomy, general adversarial safety, or a universal four-model benefit.</w:t>
      </w:r>
    </w:p>
    <w:p>
      <w:pPr>
        <w:widowControl/>
      </w:pPr>
      <w:r>
        <w:t>The supplementary archive includes the immutable protocol and outcome file, SHA-matched runner sources and task/target manifests, exact source snapshots, and a deterministic offline reproduction script. It includes original transport and session records, the excluded-ID ledger and exact frozen executable. A supplementary audit checks all 4,800 windows and all 6,441 forwarded requests, with zero route mismatches. Reanalysis of original results reproduces the four-model statistics without calling a model. Additional analyses report token components, latency, terminal validation behavior, and provider failure reasons, while identifying residual QA validator stalls and limits to failed-call usage accounting. The paper does not represent this reanalysis as a new confirmation campaign or claim a public preregistration.</w:t>
      </w:r>
    </w:p>
    <w:p>
      <w:pPr>
        <w:widowControl/>
      </w:pPr>
      <w:r>
        <w:t>The Methods section introduces Orion as an author-developed Go command-line harness and documents the model loop, terminal validation, gateway, external grading, and authority boundaries. A separate frozen research package is maintained in the private repository https://github.com/pyatkovpetr/emse under tag f10-v5-artifact-r1. The supplement provides reviewer access to the evidence and original Linux executable. The full harness source is not publicly released, and a reproducible source rebuild is not claimed.</w:t>
      </w:r>
    </w:p>
    <w:p>
      <w:pPr>
        <w:widowControl/>
      </w:pPr>
      <w:r>
        <w:t>I am the sole author. The manuscript has not been published previously and is not under consideration elsewhere. The study received no external funding, and I report no commercial relationship with Orion or the provider. My involvement in developing the studied harness is disclosed. This paper concerns completion-contract routing and is distinct from work on policy-denied file-write boundaries; no results from that separate study are substituted here.</w:t>
      </w:r>
    </w:p>
    <w:p>
      <w:pPr>
        <w:widowControl/>
      </w:pPr>
      <w:r>
        <w:t>Thank you for considering the manuscript.</w:t>
      </w:r>
    </w:p>
    <w:p>
      <w:pPr>
        <w:widowControl/>
      </w:pPr>
      <w:r>
        <w:t>Sincerely,</w:t>
      </w:r>
    </w:p>
    <w:p>
      <w:pPr>
        <w:widowControl/>
      </w:pPr>
      <w:r>
        <w:t>Petr A. Piatkov</w:t>
      </w:r>
    </w:p>
    <w:p>
      <w:pPr>
        <w:widowControl/>
      </w:pPr>
      <w:r>
        <w:t>Independent researcher, Ufa, Russian Federation</w:t>
      </w:r>
    </w:p>
    <w:p>
      <w:pPr>
        <w:widowControl/>
      </w:pPr>
      <w:r>
        <w:t>bigbox89@mail.ru</w:t>
      </w:r>
    </w:p>
    <w:p>
      <w:pPr>
        <w:widowControl/>
      </w:pPr>
      <w:r>
        <w:t>ORCID 0009-0003-0423-6467</w:t>
      </w:r>
    </w:p>
    <w:sectPr w:rsidR="00FC693F" w:rsidRPr="0006063C" w:rsidSect="00034616">
      <w:footerReference w:type="default" r:id="rId9"/>
      <w:pgSz w:w="11906" w:h="16838"/>
      <w:pgMar w:top="1134" w:right="1134" w:bottom="1417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8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="Times New Roman" w:hAnsi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/>
    </w:pPr>
    <w:rPr>
      <w:rFonts w:ascii="Times New Roman" w:hAnsi="Times New Roman"/>
      <w:b w:val="0"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for Empirical Software Engineering</dc:title>
  <dc:subject>F10 v5 source conditioned completion contracts</dc:subject>
  <dc:creator>Petr A. Piatkov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