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8D9E0">
      <w:pPr>
        <w:pStyle w:val="3"/>
        <w:bidi w:val="0"/>
        <w:rPr>
          <w:rFonts w:hint="eastAsia"/>
        </w:rPr>
      </w:pPr>
      <w:r>
        <w:br w:type="textWrapping"/>
      </w:r>
      <w:r>
        <w:rPr>
          <w:rFonts w:hint="eastAsia"/>
        </w:rPr>
        <w:t>4.1 数据概况与研究问题</w:t>
      </w:r>
    </w:p>
    <w:p w14:paraId="253C0F98">
      <w:pPr>
        <w:bidi w:val="0"/>
        <w:rPr>
          <w:rFonts w:hint="eastAsia"/>
        </w:rPr>
      </w:pPr>
      <w:r>
        <w:rPr>
          <w:rFonts w:hint="eastAsia"/>
        </w:rPr>
        <w:t>为系统分析大语言模型推理过程中的性能与能效特征，本文构建了统一实验环境，并对多种模型进行推理监测。实验共完成 446 次推理任务，涉及 12 种开源模型与 8 类典型任务类型。在实验过程中，系统持续记录 GPU 功耗、显存占用、利用率以及关键事件时间戳等信息，从而形成细粒度的时间序列数据。</w:t>
      </w:r>
    </w:p>
    <w:p w14:paraId="68DAB92C">
      <w:pPr>
        <w:bidi w:val="0"/>
        <w:rPr>
          <w:rFonts w:hint="eastAsia"/>
        </w:rPr>
      </w:pPr>
      <w:r>
        <w:rPr>
          <w:rFonts w:hint="eastAsia"/>
        </w:rPr>
        <w:t>监控系统记录的关键事件包括推理开始、首 token 生成以及推理结束。通过这些事件，可以对推理过程进行阶段划分，并进一步分析不同阶段的资源使用情况。</w:t>
      </w:r>
      <w:r>
        <w:rPr>
          <w:rFonts w:hint="eastAsia"/>
        </w:rPr>
        <w:br w:type="textWrapping"/>
      </w:r>
      <w:r>
        <w:rPr>
          <w:rStyle w:val="10"/>
          <w:rFonts w:hint="eastAsia"/>
        </w:rPr>
        <w:t>4.2 推理过程的阶段结构</w:t>
      </w:r>
    </w:p>
    <w:p w14:paraId="5FB09635">
      <w:pPr>
        <w:bidi w:val="0"/>
        <w:rPr>
          <w:rFonts w:hint="eastAsia"/>
        </w:rPr>
      </w:pPr>
      <w:r>
        <w:rPr>
          <w:rFonts w:hint="eastAsia"/>
        </w:rPr>
        <w:t>时间序列数据表明，大语言模型的推理过程并非连续均匀计算，而是呈现出明显的阶段结构。根据事件时间戳，可以将一次完整推理划分为三个阶段：模型加载阶段、首 token 生成阶段以及持续生成阶段。</w:t>
      </w:r>
    </w:p>
    <w:p w14:paraId="6CC5D8BC">
      <w:pPr>
        <w:bidi w:val="0"/>
        <w:rPr>
          <w:rFonts w:hint="eastAsia"/>
        </w:rPr>
      </w:pPr>
      <w:r>
        <w:rPr>
          <w:rFonts w:hint="eastAsia"/>
        </w:rPr>
        <w:t>在推理开始后的最初几秒内，系统主要执行模型初始化与权重加载操作。此阶段 GPU 显存占用由约 2.4 GB迅速上升至 5.7 GB，表明模型权重被加载至显存中。同时 GPU 利用率由接近 0% 提升至 80% 以上，功耗也从 7.5 W 的空闲水平迅速增加至 80 W 左右。</w:t>
      </w:r>
    </w:p>
    <w:p w14:paraId="5FE78FB4">
      <w:pPr>
        <w:bidi w:val="0"/>
        <w:rPr>
          <w:rFonts w:hint="eastAsia"/>
        </w:rPr>
      </w:pPr>
      <w:r>
        <w:rPr>
          <w:rFonts w:hint="eastAsia"/>
        </w:rPr>
        <w:t>完成模型加载后，系统进入首 token 推理阶段。从推理开始到首 token 输出的平均时间约为 8.3 秒。在这一阶段 GPU 持续处于高负载状态，利用率维持在 85%—95%之间，功耗基本保持在 80–90 W 区间。与此同时 GPU 温度由初始 35°C逐渐上升至 50°C 左右。</w:t>
      </w:r>
    </w:p>
    <w:p w14:paraId="18B0E600">
      <w:pPr>
        <w:bidi w:val="0"/>
        <w:rPr>
          <w:rFonts w:hint="eastAsia"/>
        </w:rPr>
      </w:pPr>
      <w:r>
        <w:rPr>
          <w:rFonts w:hint="eastAsia"/>
        </w:rPr>
        <w:t>首 token 输出之后，推理进入持续生成阶段。此时 GPU 负载趋于稳定，系统以较稳定速度生成后续 token。实验数据显示，持续生成阶段 GPU 平均利用率约 85.9%，功耗维持在 83 W 左右，显存占用基本保持恒定。</w:t>
      </w:r>
    </w:p>
    <w:p w14:paraId="47607BC5">
      <w:pPr>
        <w:bidi w:val="0"/>
      </w:pPr>
      <w:r>
        <w:rPr>
          <w:rFonts w:hint="eastAsia"/>
        </w:rPr>
        <w:t>从整体结构来看，推理延迟主要集中在 模型加载与首 token 计算阶段，而持续生成阶段的计算效率相对稳定。</w:t>
      </w:r>
    </w:p>
    <w:p w14:paraId="406BFBD4">
      <w:pPr>
        <w:pStyle w:val="3"/>
        <w:bidi w:val="0"/>
      </w:pPr>
      <w:r>
        <w:t>4.</w:t>
      </w:r>
      <w:r>
        <w:rPr>
          <w:rFonts w:hint="eastAsia"/>
          <w:lang w:val="en-US" w:eastAsia="zh-CN"/>
        </w:rPr>
        <w:t>3</w:t>
      </w:r>
      <w:r>
        <w:t>首 Token 延迟分析 (TTFT)</w:t>
      </w:r>
    </w:p>
    <w:p w14:paraId="603833E6">
      <w:pPr>
        <w:bidi w:val="0"/>
      </w:pPr>
      <w:r>
        <w:t>首 token 延迟（Time to First Token, TTFT）是衡量大语言模型响应速度的重要指标，它表示模型从接收到输入请求到生成第一个输出 token 所经历的时间。在交互式应用如智能助手或对话系统中，该指标直接影响用户对系统响应速度的感知。</w:t>
      </w:r>
    </w:p>
    <w:p w14:paraId="5736FC99">
      <w:pPr>
        <w:bidi w:val="0"/>
      </w:pPr>
      <w:r>
        <w:t>在本研究中，TTFT 定义为请求时间与首 token 生成时间之间的时间差：</w:t>
      </w:r>
    </w:p>
    <w:p w14:paraId="6DCD904B">
      <w:pPr>
        <w:bidi w:val="0"/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TTFT=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first_token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</w:rPr>
            <m:t>−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request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2E3CCA21">
      <w:pPr>
        <w:bidi w:val="0"/>
      </w:pPr>
      <w:r>
        <w:t>其中：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request</m:t>
            </m:r>
            <m:ctrlPr>
              <w:rPr>
                <w:rFonts w:ascii="Cambria Math" w:hAnsi="Cambria Math"/>
              </w:rPr>
            </m:ctrlPr>
          </m:sub>
        </m:sSub>
      </m:oMath>
      <w:r>
        <w:t>表示系统接收到推理请求的时间戳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first_token</m:t>
            </m:r>
            <m:ctrlPr>
              <w:rPr>
                <w:rFonts w:ascii="Cambria Math" w:hAnsi="Cambria Math"/>
              </w:rPr>
            </m:ctrlPr>
          </m:sub>
        </m:sSub>
      </m:oMath>
      <w:r>
        <w:t>表示模型生成首个 token 的时间戳</w:t>
      </w:r>
    </w:p>
    <w:p w14:paraId="0C447482">
      <w:pPr>
        <w:bidi w:val="0"/>
      </w:pPr>
      <w:r>
        <w:t>公式 (1) 描述了模型完成输入处理、上下文编码以及首次推理计算所需的整体实验结果显示，TTFT 的平均值为 3.48 秒，中位数为 1.01 秒，最小值 0.74 秒，最大值 21.88 秒。分布呈现明显右偏特征，即大多数实验具有较低延迟，但少数样本出现较高延迟。</w:t>
      </w:r>
    </w:p>
    <w:p w14:paraId="3359C4AC">
      <w:pPr>
        <w:bidi w:val="0"/>
      </w:pPr>
      <w:r>
        <w:t>不同模型之间的差异尤为明显。实验中表现最好的模型平均 TTFT 约 1.03 秒，而最慢模型平均 TTFT 达到 7.86 秒，两者之间相差约 7 倍。这一结果说明模型架构与参数规模对推理响应速度具有重要影响。</w:t>
      </w:r>
    </w:p>
    <w:p w14:paraId="334BE4F6">
      <w:pPr>
        <w:bidi w:val="0"/>
      </w:pPr>
      <w:r>
        <w:t>进一步分析输入长度对 TTFT 的影响，结果显示两者之间的相关系数仅为 0.038，相关性较弱。这意味着在当前实验环境下，首 token 延迟主要由模型结构与推理实现方式决定，而非输入规模。</w:t>
      </w:r>
    </w:p>
    <w:p w14:paraId="66EE3409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332990"/>
            <wp:effectExtent l="0" t="0" r="14605" b="10160"/>
            <wp:docPr id="1" name="图片 1" descr="03_ttft_distribution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_ttft_distribution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980">
      <w:pPr>
        <w:keepNext w:val="0"/>
        <w:keepLines w:val="0"/>
        <w:widowControl/>
        <w:suppressLineNumbers w:val="0"/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  各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模型的TTFT分布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1E099">
      <w:pPr>
        <w:pStyle w:val="3"/>
        <w:bidi w:val="0"/>
      </w:pPr>
      <w:r>
        <w:t>4.</w:t>
      </w:r>
      <w:r>
        <w:rPr>
          <w:rFonts w:hint="eastAsia"/>
          <w:lang w:val="en-US" w:eastAsia="zh-CN"/>
        </w:rPr>
        <w:t>4</w:t>
      </w:r>
      <w:r>
        <w:t xml:space="preserve"> Token 生成延迟分析 (TPOT)</w:t>
      </w:r>
    </w:p>
    <w:p w14:paraId="38212CE9">
      <w:pPr>
        <w:bidi w:val="0"/>
      </w:pPr>
      <w:r>
        <w:t>逐 token 生成延迟（Time per Output Token, TPOT）用于衡量模型在生成阶段的计算效率。与 TTFT 不同，TPOT 更能反映模型在长文本生成任务中的持续推理性能。</w:t>
      </w:r>
    </w:p>
    <w:p w14:paraId="0D225570">
      <w:pPr>
        <w:bidi w:val="0"/>
        <w:jc w:val="center"/>
      </w:pPr>
      <w:r>
        <w:t>在本研究中，TPOT 定义为生成阶段总耗时与生成 token 数量之间的比值：</w:t>
      </w:r>
      <m:oMath>
        <m:r>
          <m:rPr>
            <m:sty m:val="p"/>
          </m:rPr>
          <w:rPr>
            <w:rFonts w:hint="default" w:ascii="Times New Roman" w:hAnsi="Times New Roman"/>
          </w:rPr>
          <m:t>TPOT=</m:t>
        </m:r>
        <m:f>
          <m:fPr>
            <m:ctrlPr>
              <w:rPr>
                <w:rFonts w:hint="default" w:ascii="Cambria Math" w:hAnsi="Cambria Math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</w:rPr>
                  <m:t>generation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</w:rPr>
                  <m:t>tokens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den>
        </m:f>
      </m:oMath>
    </w:p>
    <w:p w14:paraId="52816FDE">
      <w:pPr>
        <w:bidi w:val="0"/>
      </w:pPr>
      <w:r>
        <w:t>其中：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generation</m:t>
            </m:r>
            <m:ctrlPr>
              <w:rPr>
                <w:rFonts w:ascii="Cambria Math" w:hAnsi="Cambria Math"/>
              </w:rPr>
            </m:ctrlPr>
          </m:sub>
        </m:sSub>
      </m:oMath>
      <w:r>
        <w:t>表示生成阶段的总时间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tokens</m:t>
            </m:r>
            <m:ctrlPr>
              <w:rPr>
                <w:rFonts w:ascii="Cambria Math" w:hAnsi="Cambria Math"/>
              </w:rPr>
            </m:ctrlPr>
          </m:sub>
        </m:sSub>
      </m:oMath>
      <w:r>
        <w:t>表示生成的 token 数量</w:t>
      </w:r>
    </w:p>
    <w:p w14:paraId="43F5F326">
      <w:pPr>
        <w:bidi w:val="0"/>
      </w:pPr>
      <w:r>
        <w:t>实验统计结果显示，TPOT 的平均值为 149 ms/token，中位数为 81.9 ms/token。不同模型之间差异明显，其中最快模型约 46.8 ms/token，最慢模型达到 421.2 ms/token。</w:t>
      </w:r>
    </w:p>
    <w:p w14:paraId="7AA17836">
      <w:pPr>
        <w:bidi w:val="0"/>
      </w:pPr>
      <w:r>
        <w:t>如果将 TPOT 转换为生成吞吐量，则对应速度约为：</w:t>
      </w:r>
    </w:p>
    <w:p w14:paraId="2039C8C1">
      <w:pPr>
        <w:bidi w:val="0"/>
      </w:pPr>
      <w:r>
        <w:t>最快模型约 21 tokens/s</w:t>
      </w:r>
    </w:p>
    <w:p w14:paraId="14AAF231">
      <w:pPr>
        <w:bidi w:val="0"/>
      </w:pPr>
      <w:r>
        <w:t>最慢模型约 2–3 tokens/s</w:t>
      </w:r>
    </w:p>
    <w:p w14:paraId="123C5D32">
      <w:pPr>
        <w:bidi w:val="0"/>
      </w:pPr>
      <w:r>
        <w:t>在长文本生成任务中，TPOT 随推理时间基本保持稳定，未观察到明显增长趋势。这表明在当前推理框架下，生成过程能够维持较稳定的计算效率。</w:t>
      </w:r>
    </w:p>
    <w:p w14:paraId="565E69CE">
      <w:pPr>
        <w:bidi w:val="0"/>
      </w:pPr>
      <w:r>
        <w:t>总体来看，小规模模型在生成效率方面具有明显优势，而参数规模较大的模型通常需要更高的计算开销。</w:t>
      </w:r>
    </w:p>
    <w:p w14:paraId="3A4E1505">
      <w:pPr>
        <w:bidi w:val="0"/>
      </w:pPr>
      <w:r>
        <w:t>此外，为了评估生成过程的稳定性，我们进一步分析了生成延迟随时间变化的趋势。结果表明，在长文本生成任务中，TPOT 在推理过程中基本保持稳定，未观察到明显的延迟累积或性能衰减现象。这说明 GPU 推理过程在稳定运行阶段具有较好的计算稳定性。</w:t>
      </w:r>
    </w:p>
    <w:p w14:paraId="29D911B6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810000"/>
            <wp:effectExtent l="0" t="0" r="5715" b="0"/>
            <wp:docPr id="2" name="图片 2" descr="05_tpot_distribution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_tpot_distribution 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F5D0"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图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各模型的TPOT分布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</w:t>
      </w:r>
    </w:p>
    <w:p w14:paraId="39308013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605405"/>
            <wp:effectExtent l="0" t="0" r="8890" b="4445"/>
            <wp:docPr id="3" name="图片 3" descr="06_latency_over_tim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_latency_over_time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62B3">
      <w:pPr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图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生成延迟随时间的变化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折线图</w:t>
      </w:r>
    </w:p>
    <w:p w14:paraId="40C0C403">
      <w:pPr>
        <w:pStyle w:val="3"/>
        <w:bidi w:val="0"/>
      </w:pPr>
      <w:r>
        <w:t>4.</w:t>
      </w:r>
      <w:r>
        <w:rPr>
          <w:rFonts w:hint="eastAsia"/>
          <w:lang w:val="en-US" w:eastAsia="zh-CN"/>
        </w:rPr>
        <w:t>5</w:t>
      </w:r>
      <w:r>
        <w:t xml:space="preserve"> 能耗与生成长度关系</w:t>
      </w:r>
    </w:p>
    <w:p w14:paraId="733087B6">
      <w:pPr>
        <w:bidi w:val="0"/>
      </w:pPr>
      <w:r>
        <w:t>在大语言模型推理过程中，能耗是影响系统部署成本和可扩展性的重要因素。因此，本研究进一步分析了生成 token 数量与系统能耗之间的关系。</w:t>
      </w:r>
    </w:p>
    <w:p w14:paraId="131AA03A">
      <w:pPr>
        <w:bidi w:val="0"/>
      </w:pPr>
      <w:r>
        <w:t>为了量化推理能效，本研究定义单位 token 能耗如下：</w:t>
      </w:r>
    </w:p>
    <w:p w14:paraId="46B40F4D">
      <w:pPr>
        <w:bidi w:val="0"/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Efficiency=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tokens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total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den>
          </m:f>
        </m:oMath>
      </m:oMathPara>
    </w:p>
    <w:p w14:paraId="706B4349">
      <w:pPr>
        <w:bidi w:val="0"/>
      </w:pPr>
      <w:r>
        <w:t>其中：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total</m:t>
            </m:r>
            <m:ctrlPr>
              <w:rPr>
                <w:rFonts w:ascii="Cambria Math" w:hAnsi="Cambria Math"/>
              </w:rPr>
            </m:ctrlPr>
          </m:sub>
        </m:sSub>
      </m:oMath>
      <w:r>
        <w:t>表示推理任务的总能耗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tokens</m:t>
            </m:r>
            <m:ctrlPr>
              <w:rPr>
                <w:rFonts w:ascii="Cambria Math" w:hAnsi="Cambria Math"/>
              </w:rPr>
            </m:ctrlPr>
          </m:sub>
        </m:sSub>
      </m:oMath>
      <w:r>
        <w:t>表示生成 token 数量</w:t>
      </w:r>
    </w:p>
    <w:p w14:paraId="78D563B9">
      <w:pPr>
        <w:bidi w:val="0"/>
      </w:pPr>
      <w:r>
        <w:t>该指标用于衡量模型生成单个 token 所需的平均能量消耗。</w:t>
      </w:r>
    </w:p>
    <w:p w14:paraId="4C184A59">
      <w:pPr>
        <w:bidi w:val="0"/>
      </w:pPr>
      <w:r>
        <w:t>实验结果表明，生成 token 数量与总能耗之间呈现 近似线性增长关系。统计分析显示，两者之间的相关系数约为 0.50。这一结果表明，在长文本生成任务中，系统能耗主要由逐 token 推理阶段决定，而首 token 延迟对整体能耗的贡献相对较小。</w:t>
      </w:r>
    </w:p>
    <w:p w14:paraId="1D2AD4F4">
      <w:pPr>
        <w:bidi w:val="0"/>
      </w:pPr>
      <w:r>
        <w:t>此外，实验统计结果显示：</w:t>
      </w:r>
    </w:p>
    <w:p w14:paraId="1B185BC1">
      <w:pPr>
        <w:bidi w:val="0"/>
      </w:pPr>
      <w:r>
        <w:t>平均每 token 生成时间约为 149 ms</w:t>
      </w:r>
    </w:p>
    <w:p w14:paraId="212BCDFD">
      <w:pPr>
        <w:bidi w:val="0"/>
      </w:pPr>
      <w:r>
        <w:t>生成 100 个 token 约需 14.9 s</w:t>
      </w:r>
    </w:p>
    <w:p w14:paraId="1DFA6887">
      <w:pPr>
        <w:bidi w:val="0"/>
      </w:pPr>
      <w:r>
        <w:t>这一结果进一步表明逐 token 推理阶段是系统能耗的主要来源。</w:t>
      </w:r>
    </w:p>
    <w:p w14:paraId="0EAB4D49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588895"/>
            <wp:effectExtent l="0" t="0" r="10795" b="1905"/>
            <wp:docPr id="4" name="图片 4" descr="08_energy_vs_tokens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8_energy_vs_tokens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96E4">
      <w:pPr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图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能耗与生成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token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数的关系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</w:t>
      </w:r>
    </w:p>
    <w:p w14:paraId="17AE2920">
      <w:pPr>
        <w:pStyle w:val="3"/>
        <w:bidi w:val="0"/>
      </w:pPr>
      <w:r>
        <w:t>4.</w:t>
      </w:r>
      <w:r>
        <w:rPr>
          <w:rFonts w:hint="eastAsia"/>
          <w:lang w:val="en-US" w:eastAsia="zh-CN"/>
        </w:rPr>
        <w:t>6</w:t>
      </w:r>
      <w:r>
        <w:t xml:space="preserve"> GPU 利用率与功耗关系</w:t>
      </w:r>
    </w:p>
    <w:p w14:paraId="67FDA939">
      <w:pPr>
        <w:bidi w:val="0"/>
      </w:pPr>
      <w:r>
        <w:t>为了进一步分析系统资源使用情况，本研究对 GPU 利用率与功耗之间的关系进行了统计分析。</w:t>
      </w:r>
    </w:p>
    <w:p w14:paraId="642A4BDF">
      <w:pPr>
        <w:bidi w:val="0"/>
      </w:pPr>
      <w:r>
        <w:t>实验数据显示，两者之间的相关系数为 0.637，表明 GPU 利用率与功耗之间存在显著的正相关关系。</w:t>
      </w:r>
    </w:p>
    <w:p w14:paraId="1037615D">
      <w:pPr>
        <w:bidi w:val="0"/>
      </w:pPr>
      <w:r>
        <w:t>具体而言：</w:t>
      </w:r>
    </w:p>
    <w:p w14:paraId="349761BC">
      <w:pPr>
        <w:bidi w:val="0"/>
      </w:pPr>
      <w:r>
        <w:t>GPU 利用率 &lt; 30% 时，平均功耗约为 23.5 W</w:t>
      </w:r>
    </w:p>
    <w:p w14:paraId="323B4F2B">
      <w:pPr>
        <w:bidi w:val="0"/>
      </w:pPr>
      <w:r>
        <w:t>GPU 利用率 &gt; 70% 时，平均功耗约为 58.9 W</w:t>
      </w:r>
    </w:p>
    <w:p w14:paraId="567EF65B">
      <w:pPr>
        <w:bidi w:val="0"/>
      </w:pPr>
      <w:r>
        <w:t>高利用率状态下的功耗相比低利用率增加约 151%。这一结果表明，大语言模型推理属于典型的 计算密集型工作负载。</w:t>
      </w:r>
    </w:p>
    <w:p w14:paraId="154D1AA5">
      <w:pPr>
        <w:pStyle w:val="5"/>
        <w:keepNext w:val="0"/>
        <w:keepLines w:val="0"/>
        <w:widowControl/>
        <w:suppressLineNumbers w:val="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623185"/>
            <wp:effectExtent l="0" t="0" r="11430" b="5715"/>
            <wp:docPr id="5" name="图片 5" descr="11_util_vs_power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_util_vs_power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366D">
      <w:pPr>
        <w:bidi w:val="0"/>
      </w:pPr>
      <w:r>
        <w:rPr>
          <w:rFonts w:hint="eastAsia"/>
          <w:lang w:val="en-US" w:eastAsia="zh-CN"/>
        </w:rPr>
        <w:t xml:space="preserve">图  </w:t>
      </w:r>
      <w:r>
        <w:t>GPU利用率与功耗的关联</w:t>
      </w:r>
    </w:p>
    <w:p w14:paraId="748A0747">
      <w:pPr>
        <w:pStyle w:val="3"/>
        <w:bidi w:val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 xml:space="preserve">7 </w:t>
      </w:r>
      <w:r>
        <w:rPr>
          <w:rFonts w:hint="eastAsia"/>
        </w:rPr>
        <w:t>GPU 能耗与资源利用</w:t>
      </w:r>
    </w:p>
    <w:p w14:paraId="0375B103">
      <w:pPr>
        <w:bidi w:val="0"/>
        <w:rPr>
          <w:rFonts w:hint="eastAsia"/>
        </w:rPr>
      </w:pPr>
      <w:r>
        <w:rPr>
          <w:rFonts w:hint="eastAsia"/>
        </w:rPr>
        <w:t>推理计算不仅影响系统延迟，也直接决定 GPU 的能源消耗水平。</w:t>
      </w:r>
    </w:p>
    <w:p w14:paraId="18066A35">
      <w:pPr>
        <w:bidi w:val="0"/>
        <w:rPr>
          <w:rFonts w:hint="eastAsia"/>
        </w:rPr>
      </w:pPr>
      <w:r>
        <w:rPr>
          <w:rFonts w:hint="eastAsia"/>
        </w:rPr>
        <w:t>实验数据显示：</w:t>
      </w:r>
    </w:p>
    <w:p w14:paraId="5718B316">
      <w:pPr>
        <w:bidi w:val="0"/>
        <w:rPr>
          <w:rFonts w:hint="eastAsia"/>
        </w:rPr>
      </w:pPr>
      <w:r>
        <w:rPr>
          <w:rFonts w:hint="eastAsia"/>
        </w:rPr>
        <w:t>GPU 空闲功耗约 20.5 W</w:t>
      </w:r>
    </w:p>
    <w:p w14:paraId="201AB3D9">
      <w:pPr>
        <w:bidi w:val="0"/>
        <w:rPr>
          <w:rFonts w:hint="eastAsia"/>
        </w:rPr>
      </w:pPr>
      <w:r>
        <w:rPr>
          <w:rFonts w:hint="eastAsia"/>
        </w:rPr>
        <w:t>推理平均功耗约 41.6 W</w:t>
      </w:r>
    </w:p>
    <w:p w14:paraId="6C3B6F81">
      <w:pPr>
        <w:bidi w:val="0"/>
        <w:rPr>
          <w:rFonts w:hint="eastAsia"/>
        </w:rPr>
      </w:pPr>
      <w:r>
        <w:rPr>
          <w:rFonts w:hint="eastAsia"/>
        </w:rPr>
        <w:t>峰值功耗约 83.1 W</w:t>
      </w:r>
    </w:p>
    <w:p w14:paraId="25D37CE9">
      <w:pPr>
        <w:bidi w:val="0"/>
        <w:rPr>
          <w:rFonts w:hint="eastAsia"/>
        </w:rPr>
      </w:pPr>
      <w:r>
        <w:rPr>
          <w:rFonts w:hint="eastAsia"/>
        </w:rPr>
        <w:t>相比空闲状态，推理阶段功耗增加约 103%。</w:t>
      </w:r>
    </w:p>
    <w:p w14:paraId="3B91F2A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2606675"/>
            <wp:effectExtent l="0" t="0" r="8890" b="3175"/>
            <wp:docPr id="6" name="图片 6" descr="09_idle_vs_work_power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9_idle_vs_work_power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D787">
      <w:pPr>
        <w:bidi w:val="0"/>
        <w:rPr>
          <w:rFonts w:hint="eastAsia"/>
        </w:rPr>
      </w:pPr>
    </w:p>
    <w:p w14:paraId="0050280B">
      <w:pPr>
        <w:bidi w:val="0"/>
        <w:rPr>
          <w:rFonts w:hint="eastAsia"/>
        </w:rPr>
      </w:pPr>
      <w:r>
        <w:rPr>
          <w:rFonts w:hint="eastAsia"/>
        </w:rPr>
        <w:t>进一步分析 GPU 利用率与功耗之间的关系，两者相关系数为 0.637，表明随着计算负载增加，功耗也相应上升。</w:t>
      </w:r>
    </w:p>
    <w:p w14:paraId="01A77BCB">
      <w:pPr>
        <w:bidi w:val="0"/>
        <w:rPr>
          <w:rFonts w:hint="eastAsia"/>
        </w:rPr>
      </w:pPr>
    </w:p>
    <w:p w14:paraId="1C41F8F2">
      <w:pPr>
        <w:bidi w:val="0"/>
        <w:rPr>
          <w:rFonts w:hint="eastAsia"/>
        </w:rPr>
      </w:pPr>
      <w:r>
        <w:rPr>
          <w:rFonts w:hint="eastAsia"/>
        </w:rPr>
        <w:t>在温度方面，实验中 GPU 初始温度约 35.4°C，峰值温度约 54°C，温度增幅 18.6°C。温度与功耗之间的相关系数达到 0.941，说明 GPU 温度变化主要由功耗驱动。</w:t>
      </w:r>
    </w:p>
    <w:p w14:paraId="59E322F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2603500"/>
            <wp:effectExtent l="0" t="0" r="6985" b="6350"/>
            <wp:docPr id="7" name="图片 7" descr="12_temp_vs_power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2_temp_vs_power 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AD3E">
      <w:pPr>
        <w:bidi w:val="0"/>
      </w:pPr>
      <w:r>
        <w:rPr>
          <w:rFonts w:hint="eastAsia"/>
        </w:rPr>
        <w:t>值得注意的是，在所有实验中 GPU 温度均未超过 60°C，说明系统散热能够有效支撑持续推理负载。</w:t>
      </w:r>
    </w:p>
    <w:p w14:paraId="25242BA2">
      <w:pPr>
        <w:pStyle w:val="3"/>
        <w:bidi w:val="0"/>
      </w:pPr>
      <w:r>
        <w:t>4.</w:t>
      </w:r>
      <w:r>
        <w:rPr>
          <w:rFonts w:hint="eastAsia"/>
          <w:lang w:val="en-US" w:eastAsia="zh-CN"/>
        </w:rPr>
        <w:t>8</w:t>
      </w:r>
      <w:r>
        <w:t xml:space="preserve"> 本章小结</w:t>
      </w:r>
    </w:p>
    <w:p w14:paraId="432F8063">
      <w:pPr>
        <w:bidi w:val="0"/>
      </w:pPr>
      <w:r>
        <w:t>本章基于 446 次推理实验数据，对大语言模型的推理过程与能效特征进行了系统分析。结果表明，大语言模型推理过程呈现明显阶段结构，其中模型加载与首 token 生成是主要延迟来源。不同模型之间在生成效率方面存在显著差异，小规模模型通常具有更高的生成速度。</w:t>
      </w:r>
    </w:p>
    <w:p w14:paraId="1F59FC9B">
      <w:pPr>
        <w:bidi w:val="0"/>
      </w:pPr>
      <w:r>
        <w:t>在能耗方面，GPU 功耗与利用率呈明显正相关关系，推理计算是能耗增长的主要原因。同时，量化策略能够在一定程度上降低推理延迟与能耗。</w:t>
      </w:r>
    </w:p>
    <w:p w14:paraId="0B1120A0">
      <w:pPr>
        <w:bidi w:val="0"/>
      </w:pPr>
      <w:r>
        <w:t>上述结果为后续模型部署优化与推理系统设计提供了经验依据。</w:t>
      </w:r>
    </w:p>
    <w:p w14:paraId="4D525746">
      <w:pPr>
        <w:pStyle w:val="2"/>
        <w:bidi w:val="0"/>
      </w:pPr>
      <w:r>
        <w:br w:type="textWrapping"/>
      </w:r>
      <w:r>
        <w:t>5. GPU推理能耗分析</w:t>
      </w:r>
    </w:p>
    <w:p w14:paraId="2F7275F9">
      <w:pPr>
        <w:bidi w:val="0"/>
      </w:pPr>
      <w:r>
        <w:t>为了系统评估不同任务类型与模型架构对推理阶段 GPU 能耗的影响，我们对实验过程中记录的能耗数据进行了统计分析。GPU 能耗通过对推理阶段功率曲线进行时间积分获得，即</w:t>
      </w:r>
    </w:p>
    <w:p w14:paraId="2AE222D5">
      <w:pPr>
        <w:bidi w:val="0"/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</w:rPr>
                <m:t>total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</w:rPr>
            <m:t>=</m:t>
          </m:r>
          <m:nary>
            <m:naryPr>
              <m:limLoc m:val="subSup"/>
              <m:ctrlPr>
                <w:rPr>
                  <w:rFonts w:hint="default"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start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sub>
            <m:sup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</w:rPr>
                    <m:t>end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hint="default"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P</m:t>
              </m:r>
              <m:ctrlPr>
                <w:rPr>
                  <w:rFonts w:hint="default" w:ascii="Cambria Math" w:hAnsi="Cambria Math"/>
                </w:rPr>
              </m:ctrlPr>
            </m:e>
          </m:nary>
          <m:r>
            <m:rPr>
              <m:sty m:val="p"/>
            </m:rPr>
            <w:rPr>
              <w:rFonts w:hint="default" w:ascii="Times New Roman" w:hAnsi="Times New Roman"/>
            </w:rPr>
            <m:t>(t) dt</m:t>
          </m:r>
        </m:oMath>
      </m:oMathPara>
    </w:p>
    <w:p w14:paraId="2DA54F7A">
      <w:pPr>
        <w:bidi w:val="0"/>
      </w:pPr>
      <w:r>
        <w:t xml:space="preserve">其中 </w:t>
      </w:r>
      <m:oMath>
        <m:r>
          <m:rPr>
            <m:sty m:val="p"/>
          </m:rPr>
          <w:rPr>
            <w:rFonts w:hint="default" w:ascii="Times New Roman" w:hAnsi="Times New Roman"/>
          </w:rPr>
          <m:t>P(t)</m:t>
        </m:r>
      </m:oMath>
      <w:r>
        <w:t xml:space="preserve"> 表示 GPU 在时间</w:t>
      </w:r>
      <m:oMath>
        <m:r>
          <m:rPr>
            <m:sty m:val="p"/>
          </m:rPr>
          <w:rPr>
            <w:rFonts w:hint="default" w:ascii="Times New Roman" w:hAnsi="Times New Roman"/>
          </w:rPr>
          <m:t>t</m:t>
        </m:r>
      </m:oMath>
      <w:r>
        <w:t>的瞬时功率。实验共收集 90 条有效观测数据，覆盖 8 类任务与 12 种语言模型。由于能耗数据呈现明显的偏态分布且组间样本规模不完全一致，本文采用 Kruskal–Wallis 非参数检验评估不同组之间的统计差异。</w:t>
      </w:r>
    </w:p>
    <w:p w14:paraId="1C284D05">
      <w:pPr>
        <w:pStyle w:val="3"/>
        <w:keepNext w:val="0"/>
        <w:keepLines w:val="0"/>
        <w:widowControl/>
        <w:suppressLineNumbers w:val="0"/>
      </w:pPr>
      <w:r>
        <w:t>5.1 不同任务的能耗差异</w:t>
      </w:r>
    </w:p>
    <w:p w14:paraId="3E2B4619">
      <w:pPr>
        <w:bidi w:val="0"/>
      </w:pPr>
      <w:r>
        <w:t>我们首先分析任务类型对 GPU 能耗的影响。Kruskal–Wallis 检验结果为</w:t>
      </w:r>
    </w:p>
    <w:p w14:paraId="19AC7BF8">
      <w:pPr>
        <w:bidi w:val="0"/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H=39.05, p=2.0×1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</w:rPr>
                <m:t>−6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670A384A">
      <w:pPr>
        <w:bidi w:val="0"/>
      </w:pPr>
      <w:r>
        <w:t>说明不同任务之间的能耗分布存在显著差异。</w:t>
      </w:r>
    </w:p>
    <w:p w14:paraId="067B881C">
      <w:pPr>
        <w:bidi w:val="0"/>
      </w:pPr>
      <w:r>
        <w:t>表 X 汇总了各任务的能耗统计结果。</w:t>
      </w:r>
    </w:p>
    <w:p w14:paraId="6D7D13AA">
      <w:pPr>
        <w:bidi w:val="0"/>
      </w:pPr>
      <w:r>
        <w:t>（Table X 插入位置）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1497"/>
        <w:gridCol w:w="1350"/>
        <w:gridCol w:w="1372"/>
      </w:tblGrid>
      <w:tr w14:paraId="49E2E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9F442">
            <w:pPr>
              <w:bidi w:val="0"/>
              <w:rPr>
                <w:b/>
                <w:i w:val="0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874CB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Task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1E1C59">
            <w:pPr>
              <w:bidi w:val="0"/>
              <w:rPr>
                <w:b/>
                <w:i w:val="0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874CB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Mean (J)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5FD4C">
            <w:pPr>
              <w:bidi w:val="0"/>
              <w:rPr>
                <w:b/>
                <w:i w:val="0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874CB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Std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B52BDEC">
            <w:pPr>
              <w:bidi w:val="0"/>
              <w:rPr>
                <w:b/>
                <w:i w:val="0"/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874CB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Median</w:t>
            </w:r>
          </w:p>
        </w:tc>
      </w:tr>
      <w:tr w14:paraId="2B2B5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75B7F1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summary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BA1A6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339.04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2C9AAE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219.43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44E9E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383.60</w:t>
            </w:r>
          </w:p>
        </w:tc>
      </w:tr>
      <w:tr w14:paraId="2BADE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E86EE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qa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A987AC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387.44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38B0D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168.75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91583A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363.11</w:t>
            </w:r>
          </w:p>
        </w:tc>
      </w:tr>
      <w:tr w14:paraId="6EF76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0330F1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translation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F5DAA1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471.99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8F09F6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203.84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8ED0A6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468.53</w:t>
            </w:r>
          </w:p>
        </w:tc>
      </w:tr>
      <w:tr w14:paraId="74886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69364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math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15416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544.23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BC767A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383.15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2A966E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428.19</w:t>
            </w:r>
          </w:p>
        </w:tc>
      </w:tr>
      <w:tr w14:paraId="33F53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8D82F6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reasoning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FF252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640.66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A5F074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376.09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A098D1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731.33</w:t>
            </w:r>
          </w:p>
        </w:tc>
      </w:tr>
      <w:tr w14:paraId="2A27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14FB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creative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DDF93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1038.47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C7D7D4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1204.86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8E01C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828.35</w:t>
            </w:r>
          </w:p>
        </w:tc>
      </w:tr>
      <w:tr w14:paraId="67FE7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996A0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multi_turn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FAF0A2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1613.21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95AFB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704.31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33CA8A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1564.60</w:t>
            </w:r>
          </w:p>
        </w:tc>
      </w:tr>
      <w:tr w14:paraId="423BA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0B814E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64DBAF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1790.55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611599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2045.42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21E181">
            <w:pPr>
              <w:bidi w:val="0"/>
              <w:rPr>
                <w:b w:val="0"/>
                <w:i w:val="0"/>
                <w:color w:val="000000"/>
              </w:rPr>
            </w:pPr>
            <w:r>
              <w:rPr>
                <w:b w:val="0"/>
                <w:i w:val="0"/>
                <w:color w:val="000000"/>
                <w:lang w:val="en-US" w:eastAsia="zh-CN"/>
              </w:rPr>
              <w:t>1214.09</w:t>
            </w:r>
          </w:p>
        </w:tc>
      </w:tr>
    </w:tbl>
    <w:p w14:paraId="1C18D569">
      <w:pPr>
        <w:bidi w:val="0"/>
      </w:pPr>
      <w:r>
        <w:t>从统计结果可以观察到，任务之间的能耗差异呈现明显的层级结构。摘要与问答任务的平均能耗分别为 339 J 与 387 J，属于计算负载最低的一类任务；相比之下，多轮对话与代码生成任务的平均能耗分别达到 1613 J 与 1790 J。两类任务之间的能耗差距超过 5 倍。</w:t>
      </w:r>
    </w:p>
    <w:p w14:paraId="1BD3A36F">
      <w:pPr>
        <w:bidi w:val="0"/>
        <w:rPr>
          <w:highlight w:val="yellow"/>
        </w:rPr>
      </w:pPr>
      <w:r>
        <w:rPr>
          <w:highlight w:val="yellow"/>
        </w:rPr>
        <w:t>图 X 展示了不同任务的能耗分布。</w:t>
      </w:r>
    </w:p>
    <w:p w14:paraId="785BF2E4">
      <w:pPr>
        <w:bidi w:val="0"/>
        <w:rPr>
          <w:highlight w:val="yellow"/>
        </w:rPr>
      </w:pPr>
      <w:r>
        <w:rPr>
          <w:highlight w:val="yellow"/>
        </w:rPr>
        <w:t>（Fig. X 插入位置）</w:t>
      </w:r>
    </w:p>
    <w:p w14:paraId="5D364F33">
      <w:pPr>
        <w:bidi w:val="0"/>
      </w:pPr>
      <w:r>
        <w:t>这一差异主要源于推理阶段计算量的差异。生成式任务通常需要产生更长的输出序列，同时需要处理更复杂的上下文依赖关系，从而增加 attention 计算规模。代码生成与多轮对话任务通常涉及更长的上下文窗口和更高的 token 生成数量，因此表现出更高的 GPU 能耗。</w:t>
      </w:r>
    </w:p>
    <w:p w14:paraId="2A5E2628">
      <w:pPr>
        <w:keepNext w:val="0"/>
        <w:keepLines w:val="0"/>
        <w:widowControl/>
        <w:suppressLineNumbers w:val="0"/>
      </w:pPr>
    </w:p>
    <w:p w14:paraId="12BFA318">
      <w:pPr>
        <w:pStyle w:val="3"/>
        <w:keepNext w:val="0"/>
        <w:keepLines w:val="0"/>
        <w:widowControl/>
        <w:suppressLineNumbers w:val="0"/>
      </w:pPr>
      <w:r>
        <w:t>5.2 不同模型的能耗差异</w:t>
      </w:r>
    </w:p>
    <w:p w14:paraId="5A634329">
      <w:pPr>
        <w:bidi w:val="0"/>
      </w:pPr>
      <w:r>
        <w:t>在模型维度上，我们同样观察到显著的能耗差异。Kruskal–Wallis 检验结果为</w:t>
      </w:r>
    </w:p>
    <w:p w14:paraId="3035C87B">
      <w:pPr>
        <w:bidi w:val="0"/>
      </w:pPr>
      <m:oMathPara>
        <m:oMath>
          <m:r>
            <m:rPr>
              <m:sty m:val="p"/>
            </m:rPr>
            <w:rPr>
              <w:rFonts w:hint="default" w:ascii="Times New Roman" w:hAnsi="Times New Roman"/>
            </w:rPr>
            <m:t>H=42.99, p=1.1×1</m:t>
          </m:r>
          <m:sSup>
            <m:sSupPr>
              <m:ctrlPr>
                <w:rPr>
                  <w:rFonts w:hint="default"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</w:rPr>
                <m:t>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</w:rPr>
                <m:t>−5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71086EC9">
      <w:pPr>
        <w:bidi w:val="0"/>
      </w:pPr>
      <w:r>
        <w:t>表明不同模型之间的 GPU 能耗分布存在显著差异。</w:t>
      </w:r>
    </w:p>
    <w:p w14:paraId="63039523">
      <w:pPr>
        <w:bidi w:val="0"/>
      </w:pPr>
      <w:r>
        <w:t>表 X 给出了各模型的平均能耗统计。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0"/>
        <w:gridCol w:w="3260"/>
      </w:tblGrid>
      <w:tr w14:paraId="003D3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1487ED1A">
            <w:pPr>
              <w:bidi w:val="0"/>
            </w:pPr>
            <w:r>
              <w:rPr>
                <w:lang w:val="en-US" w:eastAsia="zh-CN"/>
              </w:rPr>
              <w:t>Model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2BC8E66D">
            <w:pPr>
              <w:bidi w:val="0"/>
            </w:pPr>
            <w:r>
              <w:rPr>
                <w:lang w:val="en-US" w:eastAsia="zh-CN"/>
              </w:rPr>
              <w:t>Mean Energy (J)</w:t>
            </w:r>
          </w:p>
        </w:tc>
      </w:tr>
      <w:tr w14:paraId="6E0E2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752A6A82">
            <w:pPr>
              <w:bidi w:val="0"/>
            </w:pPr>
            <w:r>
              <w:rPr>
                <w:lang w:val="en-US" w:eastAsia="zh-CN"/>
              </w:rPr>
              <w:t>gemma-2b-it 4bit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17F68313">
            <w:pPr>
              <w:bidi w:val="0"/>
            </w:pPr>
            <w:r>
              <w:rPr>
                <w:lang w:val="en-US" w:eastAsia="zh-CN"/>
              </w:rPr>
              <w:t>225.27</w:t>
            </w:r>
          </w:p>
        </w:tc>
      </w:tr>
      <w:tr w14:paraId="57EC8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79678FF5">
            <w:pPr>
              <w:bidi w:val="0"/>
            </w:pPr>
            <w:r>
              <w:rPr>
                <w:lang w:val="en-US" w:eastAsia="zh-CN"/>
              </w:rPr>
              <w:t>gemma-2b-it 8bit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0C84F2CE">
            <w:pPr>
              <w:bidi w:val="0"/>
            </w:pPr>
            <w:r>
              <w:rPr>
                <w:lang w:val="en-US" w:eastAsia="zh-CN"/>
              </w:rPr>
              <w:t>356.15</w:t>
            </w:r>
          </w:p>
        </w:tc>
      </w:tr>
      <w:tr w14:paraId="36CC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0274B131">
            <w:pPr>
              <w:bidi w:val="0"/>
            </w:pPr>
            <w:r>
              <w:rPr>
                <w:lang w:val="en-US" w:eastAsia="zh-CN"/>
              </w:rPr>
              <w:t>gemma3 4B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5FD131F0">
            <w:pPr>
              <w:bidi w:val="0"/>
            </w:pPr>
            <w:r>
              <w:rPr>
                <w:lang w:val="en-US" w:eastAsia="zh-CN"/>
              </w:rPr>
              <w:t>358.85</w:t>
            </w:r>
          </w:p>
        </w:tc>
      </w:tr>
      <w:tr w14:paraId="1CA2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1E253791">
            <w:pPr>
              <w:bidi w:val="0"/>
            </w:pPr>
            <w:r>
              <w:rPr>
                <w:lang w:val="en-US" w:eastAsia="zh-CN"/>
              </w:rPr>
              <w:t>qwen3 4B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5D186622">
            <w:pPr>
              <w:bidi w:val="0"/>
            </w:pPr>
            <w:r>
              <w:rPr>
                <w:lang w:val="en-US" w:eastAsia="zh-CN"/>
              </w:rPr>
              <w:t>524.32</w:t>
            </w:r>
          </w:p>
        </w:tc>
      </w:tr>
      <w:tr w14:paraId="40C19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5FDFF7F0">
            <w:pPr>
              <w:bidi w:val="0"/>
            </w:pPr>
            <w:r>
              <w:rPr>
                <w:lang w:val="en-US" w:eastAsia="zh-CN"/>
              </w:rPr>
              <w:t>phi-3 mini 4bit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329365E1">
            <w:pPr>
              <w:bidi w:val="0"/>
            </w:pPr>
            <w:r>
              <w:rPr>
                <w:lang w:val="en-US" w:eastAsia="zh-CN"/>
              </w:rPr>
              <w:t>641.02</w:t>
            </w:r>
          </w:p>
        </w:tc>
      </w:tr>
      <w:tr w14:paraId="23771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4188D756">
            <w:pPr>
              <w:bidi w:val="0"/>
            </w:pPr>
            <w:r>
              <w:rPr>
                <w:lang w:val="en-US" w:eastAsia="zh-CN"/>
              </w:rPr>
              <w:t>qwen2.5-3B 4bit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10EA0A38">
            <w:pPr>
              <w:bidi w:val="0"/>
            </w:pPr>
            <w:r>
              <w:rPr>
                <w:lang w:val="en-US" w:eastAsia="zh-CN"/>
              </w:rPr>
              <w:t>770.54</w:t>
            </w:r>
          </w:p>
        </w:tc>
      </w:tr>
      <w:tr w14:paraId="3F850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6D738187">
            <w:pPr>
              <w:bidi w:val="0"/>
            </w:pPr>
            <w:r>
              <w:rPr>
                <w:lang w:val="en-US" w:eastAsia="zh-CN"/>
              </w:rPr>
              <w:t>phi-3 mini 8bit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5A1366A8">
            <w:pPr>
              <w:bidi w:val="0"/>
            </w:pPr>
            <w:r>
              <w:rPr>
                <w:lang w:val="en-US" w:eastAsia="zh-CN"/>
              </w:rPr>
              <w:t>808.87</w:t>
            </w:r>
          </w:p>
        </w:tc>
      </w:tr>
      <w:tr w14:paraId="0A1FB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21BCBBC0">
            <w:pPr>
              <w:bidi w:val="0"/>
            </w:pPr>
            <w:r>
              <w:rPr>
                <w:lang w:val="en-US" w:eastAsia="zh-CN"/>
              </w:rPr>
              <w:t>deepseek-r1 8B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62A0C101">
            <w:pPr>
              <w:bidi w:val="0"/>
            </w:pPr>
            <w:r>
              <w:rPr>
                <w:lang w:val="en-US" w:eastAsia="zh-CN"/>
              </w:rPr>
              <w:t>868.22</w:t>
            </w:r>
          </w:p>
        </w:tc>
      </w:tr>
      <w:tr w14:paraId="1DF14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5354B1BE">
            <w:pPr>
              <w:bidi w:val="0"/>
            </w:pPr>
            <w:r>
              <w:rPr>
                <w:lang w:val="en-US" w:eastAsia="zh-CN"/>
              </w:rPr>
              <w:t>qwen3 8B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6194378E">
            <w:pPr>
              <w:bidi w:val="0"/>
            </w:pPr>
            <w:r>
              <w:rPr>
                <w:lang w:val="en-US" w:eastAsia="zh-CN"/>
              </w:rPr>
              <w:t>906.47</w:t>
            </w:r>
          </w:p>
        </w:tc>
      </w:tr>
      <w:tr w14:paraId="2759C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3EE09E8B">
            <w:pPr>
              <w:bidi w:val="0"/>
            </w:pPr>
            <w:r>
              <w:rPr>
                <w:lang w:val="en-US" w:eastAsia="zh-CN"/>
              </w:rPr>
              <w:t>qwen2.5-3B 8bit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775997FA">
            <w:pPr>
              <w:bidi w:val="0"/>
            </w:pPr>
            <w:r>
              <w:rPr>
                <w:lang w:val="en-US" w:eastAsia="zh-CN"/>
              </w:rPr>
              <w:t>1187.36</w:t>
            </w:r>
          </w:p>
        </w:tc>
      </w:tr>
      <w:tr w14:paraId="44852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7DA914E4">
            <w:pPr>
              <w:bidi w:val="0"/>
            </w:pPr>
            <w:r>
              <w:rPr>
                <w:lang w:val="en-US" w:eastAsia="zh-CN"/>
              </w:rPr>
              <w:t>qwen2.5-7B 4bit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7901D3E6">
            <w:pPr>
              <w:bidi w:val="0"/>
            </w:pPr>
            <w:r>
              <w:rPr>
                <w:lang w:val="en-US" w:eastAsia="zh-CN"/>
              </w:rPr>
              <w:t>1523.98</w:t>
            </w:r>
          </w:p>
        </w:tc>
      </w:tr>
      <w:tr w14:paraId="708DA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95" w:type="dxa"/>
            <w:shd w:val="clear" w:color="auto" w:fill="auto"/>
            <w:vAlign w:val="center"/>
          </w:tcPr>
          <w:p w14:paraId="35EB794A">
            <w:pPr>
              <w:bidi w:val="0"/>
            </w:pPr>
            <w:r>
              <w:rPr>
                <w:lang w:val="en-US" w:eastAsia="zh-CN"/>
              </w:rPr>
              <w:t>qwen2.5-7B 8bit</w:t>
            </w:r>
          </w:p>
        </w:tc>
        <w:tc>
          <w:tcPr>
            <w:tcW w:w="3215" w:type="dxa"/>
            <w:shd w:val="clear" w:color="auto" w:fill="auto"/>
            <w:vAlign w:val="center"/>
          </w:tcPr>
          <w:p w14:paraId="11209FB3">
            <w:pPr>
              <w:bidi w:val="0"/>
            </w:pPr>
            <w:r>
              <w:rPr>
                <w:lang w:val="en-US" w:eastAsia="zh-CN"/>
              </w:rPr>
              <w:t>6271.10</w:t>
            </w:r>
          </w:p>
        </w:tc>
      </w:tr>
    </w:tbl>
    <w:p w14:paraId="671EDEA6">
      <w:pPr>
        <w:bidi w:val="0"/>
      </w:pPr>
      <w:r>
        <w:t>模型之间的能耗差异非常明显。参数规模较小的 gemma-2b-it (4bit) 平均能耗仅为 225 J，而 qwen2.5-7B (8bit) 的平均能耗达到 6271 J，两者差距接近 28 倍。</w:t>
      </w:r>
    </w:p>
    <w:p w14:paraId="14CA8F4F">
      <w:pPr>
        <w:bidi w:val="0"/>
        <w:rPr>
          <w:highlight w:val="yellow"/>
        </w:rPr>
      </w:pPr>
      <w:r>
        <w:rPr>
          <w:highlight w:val="yellow"/>
        </w:rPr>
        <w:t>图 X 展示了不同模型的能耗分布。</w:t>
      </w:r>
    </w:p>
    <w:p w14:paraId="204F0844">
      <w:pPr>
        <w:bidi w:val="0"/>
        <w:rPr>
          <w:highlight w:val="yellow"/>
        </w:rPr>
      </w:pPr>
      <w:r>
        <w:rPr>
          <w:highlight w:val="yellow"/>
        </w:rPr>
        <w:t>（Fig. X 插入位置）</w:t>
      </w:r>
    </w:p>
    <w:p w14:paraId="7D279FFE">
      <w:pPr>
        <w:bidi w:val="0"/>
      </w:pPr>
      <w:r>
        <w:t>总体而言，模型规模是影响推理能耗的重要因素。随着参数规模增加，推理阶段需要执行更多矩阵乘法与注意力计算，从而显著增加 GPU 功率消耗和运行时间。此外，量化策略也会对能耗产生明显影响。例如，在 phi-3 mini 模型上，4bit 量化版本的平均能耗明显低于 8bit 版本，说明低比特量化能够有效降低推理计算成本。</w:t>
      </w:r>
    </w:p>
    <w:p w14:paraId="3D87B5C0">
      <w:pPr>
        <w:pStyle w:val="4"/>
        <w:bidi w:val="0"/>
      </w:pPr>
      <w:r>
        <w:t>5.3 任务内部模型能耗比较</w:t>
      </w:r>
    </w:p>
    <w:p w14:paraId="6EDE4773">
      <w:pPr>
        <w:bidi w:val="0"/>
      </w:pPr>
      <w:r>
        <w:t>为了进一步分析模型选择在不同任务场景中的影响，我们对每一种任务分别进行了 Kruskal–Wallis 检验。结果如表 X 所示。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1797"/>
        <w:gridCol w:w="2270"/>
      </w:tblGrid>
      <w:tr w14:paraId="67CCF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2C9441EE">
            <w:pPr>
              <w:bidi w:val="0"/>
            </w:pPr>
            <w:r>
              <w:rPr>
                <w:lang w:val="en-US" w:eastAsia="zh-CN"/>
              </w:rPr>
              <w:t>Task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7AD98440">
            <w:pPr>
              <w:bidi w:val="0"/>
            </w:pPr>
            <w:r>
              <w:rPr>
                <w:lang w:val="en-US" w:eastAsia="zh-CN"/>
              </w:rPr>
              <w:t>H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5A973768">
            <w:pPr>
              <w:bidi w:val="0"/>
            </w:pPr>
            <w:r>
              <w:rPr>
                <w:lang w:val="en-US" w:eastAsia="zh-CN"/>
              </w:rPr>
              <w:t>p</w:t>
            </w:r>
          </w:p>
        </w:tc>
      </w:tr>
      <w:tr w14:paraId="1CDD7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27D31CF7">
            <w:pPr>
              <w:bidi w:val="0"/>
            </w:pPr>
            <w:r>
              <w:rPr>
                <w:lang w:val="en-US" w:eastAsia="zh-CN"/>
              </w:rPr>
              <w:t>code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4C6DB027">
            <w:pPr>
              <w:bidi w:val="0"/>
            </w:pPr>
            <w:r>
              <w:rPr>
                <w:lang w:val="en-US" w:eastAsia="zh-CN"/>
              </w:rPr>
              <w:t>34.97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41181936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1AF77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28B4044F">
            <w:pPr>
              <w:bidi w:val="0"/>
            </w:pPr>
            <w:r>
              <w:rPr>
                <w:lang w:val="en-US" w:eastAsia="zh-CN"/>
              </w:rPr>
              <w:t>creative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6B0FD94B">
            <w:pPr>
              <w:bidi w:val="0"/>
            </w:pPr>
            <w:r>
              <w:rPr>
                <w:lang w:val="en-US" w:eastAsia="zh-CN"/>
              </w:rPr>
              <w:t>45.38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6CB5B3BD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181B5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006207E7">
            <w:pPr>
              <w:bidi w:val="0"/>
            </w:pPr>
            <w:r>
              <w:rPr>
                <w:lang w:val="en-US" w:eastAsia="zh-CN"/>
              </w:rPr>
              <w:t>math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2730D0E5">
            <w:pPr>
              <w:bidi w:val="0"/>
            </w:pPr>
            <w:r>
              <w:rPr>
                <w:lang w:val="en-US" w:eastAsia="zh-CN"/>
              </w:rPr>
              <w:t>46.87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4F955A95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76B1D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1B4A56DE">
            <w:pPr>
              <w:bidi w:val="0"/>
            </w:pPr>
            <w:r>
              <w:rPr>
                <w:lang w:val="en-US" w:eastAsia="zh-CN"/>
              </w:rPr>
              <w:t>multi_turn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2036C449">
            <w:pPr>
              <w:bidi w:val="0"/>
            </w:pPr>
            <w:r>
              <w:rPr>
                <w:lang w:val="en-US" w:eastAsia="zh-CN"/>
              </w:rPr>
              <w:t>38.57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323D5599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5F0A6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004207C9">
            <w:pPr>
              <w:bidi w:val="0"/>
            </w:pPr>
            <w:r>
              <w:rPr>
                <w:lang w:val="en-US" w:eastAsia="zh-CN"/>
              </w:rPr>
              <w:t>qa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400F45C1">
            <w:pPr>
              <w:bidi w:val="0"/>
            </w:pPr>
            <w:r>
              <w:rPr>
                <w:lang w:val="en-US" w:eastAsia="zh-CN"/>
              </w:rPr>
              <w:t>40.20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756881A3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2ED90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0092A75C">
            <w:pPr>
              <w:bidi w:val="0"/>
            </w:pPr>
            <w:r>
              <w:rPr>
                <w:lang w:val="en-US" w:eastAsia="zh-CN"/>
              </w:rPr>
              <w:t>reasoning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6F9C7BA0">
            <w:pPr>
              <w:bidi w:val="0"/>
            </w:pPr>
            <w:r>
              <w:rPr>
                <w:lang w:val="en-US" w:eastAsia="zh-CN"/>
              </w:rPr>
              <w:t>43.00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52929602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4CD3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75B8CD8F">
            <w:pPr>
              <w:bidi w:val="0"/>
            </w:pPr>
            <w:r>
              <w:rPr>
                <w:lang w:val="en-US" w:eastAsia="zh-CN"/>
              </w:rPr>
              <w:t>summary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07CEEC86">
            <w:pPr>
              <w:bidi w:val="0"/>
            </w:pPr>
            <w:r>
              <w:rPr>
                <w:lang w:val="en-US" w:eastAsia="zh-CN"/>
              </w:rPr>
              <w:t>47.03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4C9626CA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  <w:tr w14:paraId="59D27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15" w:type="dxa"/>
            <w:shd w:val="clear" w:color="auto" w:fill="auto"/>
            <w:vAlign w:val="center"/>
          </w:tcPr>
          <w:p w14:paraId="1FE9219A">
            <w:pPr>
              <w:bidi w:val="0"/>
            </w:pPr>
            <w:r>
              <w:rPr>
                <w:lang w:val="en-US" w:eastAsia="zh-CN"/>
              </w:rPr>
              <w:t>translation</w:t>
            </w:r>
          </w:p>
        </w:tc>
        <w:tc>
          <w:tcPr>
            <w:tcW w:w="1767" w:type="dxa"/>
            <w:shd w:val="clear" w:color="auto" w:fill="auto"/>
            <w:vAlign w:val="center"/>
          </w:tcPr>
          <w:p w14:paraId="56E5A41D">
            <w:pPr>
              <w:bidi w:val="0"/>
            </w:pPr>
            <w:r>
              <w:rPr>
                <w:lang w:val="en-US" w:eastAsia="zh-CN"/>
              </w:rPr>
              <w:t>47.91</w:t>
            </w:r>
          </w:p>
        </w:tc>
        <w:tc>
          <w:tcPr>
            <w:tcW w:w="2225" w:type="dxa"/>
            <w:shd w:val="clear" w:color="auto" w:fill="auto"/>
            <w:vAlign w:val="center"/>
          </w:tcPr>
          <w:p w14:paraId="4EAB2D6B">
            <w:pPr>
              <w:bidi w:val="0"/>
            </w:pPr>
            <w:r>
              <w:rPr>
                <w:lang w:val="en-US" w:eastAsia="zh-CN"/>
              </w:rPr>
              <w:t>&lt;0.001</w:t>
            </w:r>
          </w:p>
        </w:tc>
      </w:tr>
    </w:tbl>
    <w:p w14:paraId="696F7100">
      <w:pPr>
        <w:bidi w:val="0"/>
      </w:pPr>
      <w:r>
        <w:t>所有任务均表现出显著差异，这说明在相同任务条件下，不同模型之间的 GPU 能耗仍然存在明显差别。换言之，模型选择不仅影响整体能耗水平，还会改变不同任务的能耗表现。</w:t>
      </w:r>
    </w:p>
    <w:p w14:paraId="641072A5">
      <w:pPr>
        <w:pStyle w:val="4"/>
        <w:bidi w:val="0"/>
      </w:pPr>
      <w:r>
        <w:t>5.4 实验结果分析</w:t>
      </w:r>
    </w:p>
    <w:p w14:paraId="1836576D">
      <w:pPr>
        <w:bidi w:val="0"/>
      </w:pPr>
      <w:r>
        <w:t>综合以上分析，可以得到两个主要结论。首先，任务类型决定了推理阶段的基础计算负载。生成长度较长或上下文依赖较复杂的任务通常需要更高的 GPU 计算资源。其次，模型规模与量化策略对能耗具有决定性影响。较小模型和低比特量化能够显著降低推理能耗。</w:t>
      </w:r>
    </w:p>
    <w:p w14:paraId="5F485E98">
      <w:pPr>
        <w:bidi w:val="0"/>
      </w:pPr>
      <w:r>
        <w:t>这些结果表明，在实际部署大型语言模型时，通过 任务感知的模型选择 与 量化优化策略，可以在保证推理质量的同时有效降低系统能耗。</w:t>
      </w:r>
    </w:p>
    <w:p w14:paraId="28047BED">
      <w:pPr>
        <w:pStyle w:val="5"/>
        <w:keepNext w:val="0"/>
        <w:keepLines w:val="0"/>
        <w:widowControl/>
        <w:suppressLineNumbers w:val="0"/>
      </w:pPr>
    </w:p>
    <w:p w14:paraId="34568437">
      <w:pPr>
        <w:pStyle w:val="5"/>
        <w:keepNext w:val="0"/>
        <w:keepLines w:val="0"/>
        <w:widowControl/>
        <w:suppressLineNumbers w:val="0"/>
      </w:pPr>
    </w:p>
    <w:p w14:paraId="310949D6"/>
    <w:p w14:paraId="6A238375">
      <w:pPr>
        <w:pStyle w:val="5"/>
        <w:keepNext w:val="0"/>
        <w:keepLines w:val="0"/>
        <w:widowControl/>
        <w:suppressLineNumbers w:val="0"/>
        <w:rPr>
          <w:rFonts w:ascii="Times New Roman" w:hAnsi="Times New Roman" w:cs="Times New Roman"/>
        </w:rPr>
      </w:pPr>
    </w:p>
    <w:p w14:paraId="7C320D91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cs="Times New Roman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参考文献</w:t>
      </w:r>
    </w:p>
    <w:p w14:paraId="35AA9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 Vaswani A. Attention Is All You Need. NeurIPS, 2017.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[2] Brown T. Language Models are Few-Shot Learners. NeurIPS, 2020.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[3] Devlin J. BERT: Pre-training of Deep Bidirectional Transformers. NAACL, 2019.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[4] Touvron H. LLaMA: Open and Efficient Foundation Language Models. 2023.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[5] Chowdhery A. PaLM: Scaling Language Modeling with Pathways. 2022.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[6] Kaplan J. Scaling Laws for Neural Language Models. 2020.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[7] Patterson D. Carbon Emissions and Large Neural Network Training. 2021.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[8] Luccioni A. Estimating the Carbon Footprint of AI. 2023.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[9] Bommasani R. On the Opportunities and Risks of Foundation Models. 2021.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[10] Schwartz R. Green AI. Communications of the ACM, 2020.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[11] Wang A. GLUE Benchmark. ICLR, 2018.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[12] Wang A. SuperGLUE Benchmark. NeurIPS, 2019.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[13] Hendrycks D. MMLU Benchmark. ICLR, 2021.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[14] Liang P. Holistic Evaluation of Language Models. 2022.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[15] Strubell E. Energy and Policy Considerations for Deep Learning in NLP. ACL, 2019.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[16] Henderson P. Towards the Systematic Reporting of Energy Footprints. JMLR, 2020.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[17] Jacob B. Quantization for Efficient Inference. CVPR, 2018.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[18] Hinton G. Knowledge Distillation. 2015.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[19] Han S. Deep Compression. ICLR, 2016.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[20] Kwon W. vLLM: Efficient LLM Serving. SOSP, 2023.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[21] NVIDIA. TensorRT-LLM Technical Report. 2023.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[22] Jouppi N. TPU Architecture. ISCA, 2017.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73C0"/>
    <w:rsid w:val="0A985C79"/>
    <w:rsid w:val="0E342BAD"/>
    <w:rsid w:val="1B381CB3"/>
    <w:rsid w:val="28973DF2"/>
    <w:rsid w:val="4CD63E9B"/>
    <w:rsid w:val="729C4398"/>
    <w:rsid w:val="7BFB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标题 2 Char"/>
    <w:link w:val="3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7329</Words>
  <Characters>10964</Characters>
  <Lines>0</Lines>
  <Paragraphs>0</Paragraphs>
  <TotalTime>47</TotalTime>
  <ScaleCrop>false</ScaleCrop>
  <LinksUpToDate>false</LinksUpToDate>
  <CharactersWithSpaces>11842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2026-03-09T04:39:00Z</dcterms:created>
  <dc:creator>陈锦文</dc:creator>
  <cp:lastModifiedBy>陈锦文</cp:lastModifiedBy>
  <dcterms:modified xsi:type="dcterms:W3CDTF">2026-03-12T12:41:40Z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EEB87E9D261B47E79E142C0E4B1F50BC_13</vt:lpwstr>
  </property>
  <property fmtid="{D5CDD505-2E9C-101B-9397-08002B2CF9AE}" pid="4" name="KSOTemplateDocerSaveRecord">
    <vt:lpwstr>eyJoZGlkIjoiNjVjZmQyZTA5NThiODFlNzJlYjliOGM5NWNlYWViNDEiLCJ1c2VySWQiOiI4MDAyMjU5MzkifQ==</vt:lpwstr>
  </property>
</Properties>
</file>