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A3198">
      <w:pPr>
        <w:pStyle w:val="2"/>
        <w:keepNext w:val="0"/>
        <w:keepLines w:val="0"/>
        <w:widowControl/>
        <w:suppressLineNumbers w:val="0"/>
        <w:rPr>
          <w:rFonts w:hint="eastAsia" w:ascii="Times New Roman" w:hAnsi="Times New Roman" w:eastAsia="宋体" w:cs="Times New Roman"/>
          <w:lang w:val="en-US" w:eastAsia="zh-CN"/>
        </w:rPr>
      </w:pPr>
      <w:bookmarkStart w:id="0" w:name="_Toc5728"/>
      <w:r>
        <w:rPr>
          <w:rFonts w:hint="eastAsia" w:ascii="Times New Roman" w:hAnsi="Times New Roman" w:eastAsia="宋体" w:cs="Times New Roman"/>
          <w:lang w:val="en-US" w:eastAsia="zh-CN"/>
        </w:rPr>
        <w:t>2 研究方法与实验设计</w:t>
      </w:r>
      <w:bookmarkEnd w:id="0"/>
    </w:p>
    <w:p w14:paraId="2BC94CF9">
      <w:pPr>
        <w:pStyle w:val="3"/>
        <w:bidi w:val="0"/>
        <w:rPr>
          <w:rFonts w:hint="eastAsia" w:ascii="Times New Roman" w:hAnsi="Times New Roman" w:eastAsia="宋体" w:cs="Times New Roman"/>
          <w:lang w:val="en-US" w:eastAsia="zh-CN"/>
        </w:rPr>
      </w:pPr>
      <w:bookmarkStart w:id="1" w:name="_Toc29443"/>
      <w:r>
        <w:rPr>
          <w:rFonts w:hint="eastAsia" w:ascii="Times New Roman" w:hAnsi="Times New Roman" w:eastAsia="宋体" w:cs="Times New Roman"/>
          <w:lang w:val="en-US" w:eastAsia="zh-CN"/>
        </w:rPr>
        <w:t>2.1 数据采集方法</w:t>
      </w:r>
      <w:bookmarkEnd w:id="1"/>
    </w:p>
    <w:p w14:paraId="34AAC661">
      <w:p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研究的数据来源于针对12个不同的大语言模型实验任务涵盖代码生成、创意写作、数学推理、问答、逻辑推理、文本摘要、翻译以及多轮对话，共计采集有效样本446个。所有实验均在同一平台上运行，以确保性能指标的可比性。</w:t>
      </w:r>
    </w:p>
    <w:p w14:paraId="55DA0802">
      <w:pPr>
        <w:spacing w:after="22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数据采集过程分为两个阶段：实验执行与原始数据提取。实验结束后，系统输出两类JSON文件，按模型名称分类存储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8F22037">
      <w:pPr>
        <w:pStyle w:val="3"/>
        <w:bidi w:val="0"/>
        <w:rPr>
          <w:rFonts w:hint="eastAsia" w:ascii="Times New Roman" w:hAnsi="Times New Roman" w:eastAsia="宋体" w:cs="Times New Roman"/>
          <w:lang w:val="en-US" w:eastAsia="zh-CN"/>
        </w:rPr>
      </w:pPr>
      <w:bookmarkStart w:id="2" w:name="_Toc29799"/>
      <w:r>
        <w:rPr>
          <w:rFonts w:hint="eastAsia" w:ascii="Times New Roman" w:hAnsi="Times New Roman" w:eastAsia="宋体" w:cs="Times New Roman"/>
          <w:lang w:val="en-US" w:eastAsia="zh-CN"/>
        </w:rPr>
        <w:t>2.2 质量得分方法</w:t>
      </w:r>
      <w:bookmarkEnd w:id="2"/>
    </w:p>
    <w:p w14:paraId="657C6151">
      <w:pPr>
        <w:spacing w:before="240" w:line="271" w:lineRule="auto"/>
        <w:rPr>
          <w:rFonts w:ascii="Times New Roman" w:hAnsi="Times New Roman" w:eastAsia="宋体" w:cs="Times New Roman"/>
          <w:sz w:val="24"/>
          <w:szCs w:val="24"/>
        </w:rPr>
      </w:pPr>
      <w:bookmarkStart w:id="3" w:name="bm_2_2_质量得分方法"/>
      <w:r>
        <w:rPr>
          <w:rFonts w:ascii="Times New Roman" w:hAnsi="Times New Roman" w:eastAsia="宋体" w:cs="Times New Roman"/>
          <w:b/>
          <w:sz w:val="24"/>
          <w:szCs w:val="24"/>
        </w:rPr>
        <w:t>2.2 质量得分方法</w:t>
      </w:r>
      <w:bookmarkEnd w:id="3"/>
    </w:p>
    <w:p w14:paraId="3D4E6DE3">
      <w:p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为系统评估不同任务</w:t>
      </w:r>
      <w:r>
        <w:rPr>
          <w:rFonts w:hint="eastAsia" w:cs="Times New Roman"/>
          <w:sz w:val="24"/>
          <w:szCs w:val="24"/>
          <w:lang w:val="en-US" w:eastAsia="zh-CN"/>
        </w:rPr>
        <w:t>的</w:t>
      </w:r>
      <w:r>
        <w:rPr>
          <w:rFonts w:ascii="Times New Roman" w:hAnsi="Times New Roman" w:eastAsia="宋体" w:cs="Times New Roman"/>
          <w:sz w:val="24"/>
          <w:szCs w:val="24"/>
        </w:rPr>
        <w:t>输出质量，本研究分别选取了自动评估指标。这些指标旨在从正确性、流畅性、多样性、忠实度、复杂度等刻画模型生成文本的内在属性，为</w:t>
      </w:r>
      <w:r>
        <w:rPr>
          <w:rFonts w:hint="eastAsia" w:cs="Times New Roman"/>
          <w:sz w:val="24"/>
          <w:szCs w:val="24"/>
          <w:lang w:val="en-US" w:eastAsia="zh-CN"/>
        </w:rPr>
        <w:t>后续</w:t>
      </w:r>
      <w:r>
        <w:rPr>
          <w:rFonts w:ascii="Times New Roman" w:hAnsi="Times New Roman" w:eastAsia="宋体" w:cs="Times New Roman"/>
          <w:sz w:val="24"/>
          <w:szCs w:val="24"/>
        </w:rPr>
        <w:t>分析提供数据基础。各任务所采用的评估指标体系、核心指标及对应的数据文件汇总于</w:t>
      </w:r>
      <w:r>
        <w:rPr>
          <w:rFonts w:ascii="Times New Roman" w:hAnsi="Times New Roman" w:eastAsia="宋体" w:cs="Times New Roman"/>
          <w:b/>
          <w:sz w:val="24"/>
          <w:szCs w:val="24"/>
        </w:rPr>
        <w:t>表2-1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38FCACAD">
      <w:pPr>
        <w:spacing w:after="220"/>
        <w:rPr>
          <w:rFonts w:ascii="Times New Roman" w:hAnsi="Times New Roman" w:eastAsia="宋体" w:cs="Times New Roman"/>
          <w:b/>
          <w:bCs w:val="0"/>
          <w:sz w:val="21"/>
          <w:szCs w:val="21"/>
        </w:rPr>
      </w:pPr>
      <w:r>
        <w:rPr>
          <w:rFonts w:ascii="Times New Roman" w:hAnsi="Times New Roman" w:eastAsia="宋体" w:cs="Times New Roman"/>
          <w:b/>
          <w:bCs w:val="0"/>
          <w:sz w:val="21"/>
          <w:szCs w:val="21"/>
        </w:rPr>
        <w:t>表2-1 各任务类型质量评估指标体系概览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45"/>
        <w:gridCol w:w="6934"/>
      </w:tblGrid>
      <w:tr w14:paraId="13827D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4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776DAD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任务类型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7F73C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评估指标</w:t>
            </w:r>
          </w:p>
        </w:tc>
      </w:tr>
      <w:tr w14:paraId="19944F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4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F5F27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代码生成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E19FD7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代码长度、编译通过率、圈复杂度、包含代码、测试通过率、测试通过数、测试总数</w:t>
            </w:r>
          </w:p>
        </w:tc>
      </w:tr>
      <w:tr w14:paraId="3D738A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4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C13BF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创意写作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1D4023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平均句长、词汇多样性-1/2、隐喻/排比/拟人/重复修辞计数、困惑度、句子/文本/词元计数、总修辞数、独特词元比</w:t>
            </w:r>
          </w:p>
        </w:tc>
      </w:tr>
      <w:tr w14:paraId="66B1D1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4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51E24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数学推理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B0CEAC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精确匹配、提取答案、提取置信度、包含答案、包含计算/推理过程、数值匹配、参考答案、步骤数、文本长度</w:t>
            </w:r>
          </w:p>
        </w:tc>
      </w:tr>
      <w:tr w14:paraId="390317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4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6D429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问答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4DB344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答案长度、平均段落长度、确定性/不确定性词汇数、置信度得分、包含答案/结论/列举/示例/推理、段落数、推理步骤数、专业术语数/密度</w:t>
            </w:r>
          </w:p>
        </w:tc>
      </w:tr>
      <w:tr w14:paraId="694B3F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4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F8356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摘要生成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BFDFC5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BARTScore (平均/忠实度/信息量)、BERTScore (F1/精确率/召回率)、合规性得分、压缩比、偏差、范围内、信息密度、长度、ROUGE (1/2/L 的 F1/精确率/召回率)、原文长度</w:t>
            </w:r>
          </w:p>
        </w:tc>
      </w:tr>
      <w:tr w14:paraId="32AE3C0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4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C6884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翻译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0BAB92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BERTScore (F1/精确率/召回率)、BLEU (1/2/4)、chrF、编辑距离、编辑相似度、长度比、归一化编辑距离</w:t>
            </w:r>
          </w:p>
        </w:tc>
      </w:tr>
      <w:tr w14:paraId="10A22D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134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119E5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推理</w:t>
            </w:r>
          </w:p>
        </w:tc>
        <w:tc>
          <w:tcPr>
            <w:tcW w:w="6934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40F732">
            <w:pPr>
              <w:spacing w:after="0" w:line="240" w:lineRule="auto"/>
              <w:jc w:val="left"/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2"/>
                <w:szCs w:val="22"/>
              </w:rPr>
              <w:t>平均句长、连贯性/完整性/深度得分、结论正确性/F1、连接词密度、提取置信度、包含结论/逻辑连接词/前提/推理步骤、关键词覆盖率/数量、句子/步骤数</w:t>
            </w:r>
          </w:p>
        </w:tc>
      </w:tr>
    </w:tbl>
    <w:p w14:paraId="5813F36E">
      <w:pPr>
        <w:rPr>
          <w:rFonts w:ascii="Times New Roman" w:hAnsi="Times New Roman" w:eastAsia="宋体" w:cs="Times New Roman"/>
          <w:sz w:val="24"/>
          <w:szCs w:val="24"/>
        </w:rPr>
      </w:pPr>
    </w:p>
    <w:p w14:paraId="5EDB3258">
      <w:pPr>
        <w:spacing w:before="240" w:line="271" w:lineRule="auto"/>
        <w:rPr>
          <w:rFonts w:ascii="Times New Roman" w:hAnsi="Times New Roman" w:eastAsia="宋体" w:cs="Times New Roman"/>
          <w:sz w:val="24"/>
          <w:szCs w:val="24"/>
        </w:rPr>
      </w:pPr>
      <w:bookmarkStart w:id="4" w:name="bm_2_2_1_核心指标数学定义"/>
      <w:r>
        <w:rPr>
          <w:rFonts w:ascii="Times New Roman" w:hAnsi="Times New Roman" w:eastAsia="宋体" w:cs="Times New Roman"/>
          <w:b/>
          <w:sz w:val="24"/>
          <w:szCs w:val="24"/>
        </w:rPr>
        <w:t>2.2.1 核心指标数学定义</w:t>
      </w:r>
      <w:bookmarkEnd w:id="4"/>
    </w:p>
    <w:p w14:paraId="5CE6DE7A">
      <w:p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为明确</w:t>
      </w:r>
      <w:r>
        <w:rPr>
          <w:rFonts w:hint="eastAsia" w:cs="Times New Roman"/>
          <w:sz w:val="24"/>
          <w:szCs w:val="24"/>
          <w:lang w:val="en-US" w:eastAsia="zh-CN"/>
        </w:rPr>
        <w:t>部分指标</w:t>
      </w:r>
      <w:r>
        <w:rPr>
          <w:rFonts w:ascii="Times New Roman" w:hAnsi="Times New Roman" w:eastAsia="宋体" w:cs="Times New Roman"/>
          <w:sz w:val="24"/>
          <w:szCs w:val="24"/>
        </w:rPr>
        <w:t>计算原理，本节对其中较为晦涩的指标给出形式化的数学定义。</w:t>
      </w:r>
    </w:p>
    <w:p w14:paraId="19F967E3">
      <w:pPr>
        <w:numPr>
          <w:ilvl w:val="0"/>
          <w:numId w:val="1"/>
        </w:num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代码圈复杂度 (Cyclomatic Complexity)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 xml:space="preserve">该指标用于衡量程序结构的复杂程度，其值等于通过代码控制流图的独立线性路径数量。圈复杂度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v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(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G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的计算公式为：</w:t>
      </w:r>
    </w:p>
    <w:p w14:paraId="53431556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(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)=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−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+2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p</m:t>
          </m:r>
        </m:oMath>
      </m:oMathPara>
    </w:p>
    <w:p w14:paraId="1B7B5FE6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e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代表控制流图中边的数量，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n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代表节点的数量，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p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代表连通分量的数量（对于一个单入口、单出口的函数，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p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=1</m:t>
        </m:r>
      </m:oMath>
      <w:r>
        <w:rPr>
          <w:rFonts w:ascii="Times New Roman" w:hAnsi="Times New Roman" w:eastAsia="宋体" w:cs="Times New Roman"/>
          <w:sz w:val="24"/>
          <w:szCs w:val="24"/>
        </w:rPr>
        <w:t>）。该值越高，测试和维护的难度越大。</w:t>
      </w:r>
    </w:p>
    <w:p w14:paraId="4AF44056">
      <w:pPr>
        <w:numPr>
          <w:ilvl w:val="0"/>
          <w:numId w:val="1"/>
        </w:num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困惑度 (Perplexity, PPL)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用于评估语言模型对文本序列不确定性的指标。在给定一个词序列时，困惑度为模型赋予该序列概率的几何平均数的倒数：</w:t>
      </w:r>
    </w:p>
    <w:p w14:paraId="68AB4905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ascii="Times New Roman" w:hAnsi="Times New Roman" w:eastAsia="宋体" w:cs="Times New Roman"/>
              <w:b w:val="0"/>
              <w:i w:val="0"/>
              <w:sz w:val="24"/>
              <w:szCs w:val="24"/>
            </w:rPr>
            <m:t>PPL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(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)=exp⁡</m:t>
          </m:r>
          <m:d>
            <m:dPr>
              <m:begChr m:val="{"/>
              <m:endChr m:val="}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=1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 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 log⁡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&lt;</m:t>
                  </m:r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)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d>
        </m:oMath>
      </m:oMathPara>
    </w:p>
    <w:p w14:paraId="3D9457B9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p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|</m:t>
        </m:r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&lt;</m:t>
            </m:r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是模型在给定条件下预测词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的概率。困惑度越低，表示文本的预测越准确，生成文本越流畅、越符合自然语言统计规律。</w:t>
      </w:r>
    </w:p>
    <w:p w14:paraId="62A504E6">
      <w:pPr>
        <w:numPr>
          <w:ilvl w:val="0"/>
          <w:numId w:val="1"/>
        </w:num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BLEU (Bilingual Evaluation Understudy)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一种通过计算共现精度来评估生成质量的指标。BLEU-N 的计算侧重于 n-gram 的精确率，并引入短句惩罚因子。以 BLEU-1 为例，其核心计算公式为：</w:t>
      </w:r>
    </w:p>
    <w:p w14:paraId="63545548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ascii="Times New Roman" w:hAnsi="Times New Roman" w:eastAsia="宋体" w:cs="Times New Roman"/>
              <w:b w:val="0"/>
              <w:i w:val="0"/>
              <w:sz w:val="24"/>
              <w:szCs w:val="24"/>
            </w:rPr>
            <m:t>BLEU-1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r>
            <m:rPr>
              <m:nor/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BP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⋅exp⁡</m:t>
          </m:r>
          <m:d>
            <m:d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grow m:val="1"/>
                  <m:limLoc m:val="undOvr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=1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 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nary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 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log⁡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d>
        </m:oMath>
      </m:oMathPara>
    </w:p>
    <w:p w14:paraId="7857473D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其中，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p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 n-gram 的精确率，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w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为权重，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b w:val="0"/>
            <w:i w:val="0"/>
            <w:sz w:val="24"/>
            <w:szCs w:val="24"/>
          </w:rPr>
          <m:t>BP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是</w:t>
      </w:r>
      <w:r>
        <w:rPr>
          <w:rFonts w:hint="eastAsia" w:cs="Times New Roman"/>
          <w:sz w:val="24"/>
          <w:szCs w:val="24"/>
          <w:lang w:val="en-US" w:eastAsia="zh-CN"/>
        </w:rPr>
        <w:t>用于</w:t>
      </w:r>
      <w:r>
        <w:rPr>
          <w:rFonts w:ascii="Times New Roman" w:hAnsi="Times New Roman" w:eastAsia="宋体" w:cs="Times New Roman"/>
          <w:sz w:val="24"/>
          <w:szCs w:val="24"/>
        </w:rPr>
        <w:t>惩罚过短的生成文本。</w:t>
      </w:r>
    </w:p>
    <w:p w14:paraId="053EAD20">
      <w:pPr>
        <w:numPr>
          <w:ilvl w:val="0"/>
          <w:numId w:val="1"/>
        </w:num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ROUGE (Recall-Oriented Understudy for Gisting Evaluation)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一组基于召回率的指标，主要评估自动摘要质量。其中，ROUGE-N 衡量 n-gram 的重叠程度，ROUGE-L 则基于最长公共子序列。ROUGE-L 的 F1 分数计算公式如下：</w:t>
      </w:r>
    </w:p>
    <w:p w14:paraId="26E20449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lcs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LCS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(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,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)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m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lcs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LCS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(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,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Y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)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 xml:space="preserve">, 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F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lcs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(1+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β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)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lcs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lcs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lcs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β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lcs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</m:oMath>
      </m:oMathPara>
    </w:p>
    <w:p w14:paraId="4C60790F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X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Y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分别为生成摘要和参考摘要的词序列，</w:t>
      </w:r>
      <w:r>
        <w:rPr>
          <w:rFonts w:hint="eastAsia" w:cs="Times New Roman"/>
          <w:sz w:val="24"/>
          <w:szCs w:val="24"/>
          <w:lang w:val="en-US" w:eastAsia="zh-CN"/>
        </w:rPr>
        <w:t>长度为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</w:t>
      </w:r>
      <w:r>
        <w:rPr>
          <w:rFonts w:hint="eastAsia" w:cs="Times New Roman"/>
          <w:sz w:val="24"/>
          <w:szCs w:val="24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LCS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(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X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,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Y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是最长公共子序列的长度。</w:t>
      </w:r>
    </w:p>
    <w:p w14:paraId="45B510FF">
      <w:pPr>
        <w:numPr>
          <w:ilvl w:val="0"/>
          <w:numId w:val="1"/>
        </w:num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BERTScore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一种利用 BERT 等预训练模型的词向量指标。它通过计算两段文本中词向量的余弦相似度来获得最佳匹配。BERTScore F1 的计算可以概括为：</w:t>
      </w:r>
    </w:p>
    <w:p w14:paraId="068D476E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BERT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|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|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∈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 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limLow>
            <m:limLow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max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lim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∈</m:t>
              </m:r>
              <m:acc>
                <m:accPr>
                  <m:chr m:val="ˆ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>
          </m:limLow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 </m:t>
          </m:r>
          <m:sSubSup>
            <m:sSub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bSup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j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P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BERT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|</m:t>
              </m:r>
              <m:acc>
                <m:accPr>
                  <m:chr m:val="ˆ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acc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|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  <m:nary>
            <m:naryPr>
              <m:chr m:val="∑"/>
              <m:grow m:val="1"/>
              <m:limLoc m:val="undOvr"/>
              <m:supHide m:val="1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Times New Roman" w:hAnsi="Times New Roman" w:eastAsia="宋体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∈</m:t>
              </m:r>
              <m:acc>
                <m:accPr>
                  <m:chr m:val="ˆ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 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limLow>
            <m:limLow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max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lim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∈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lim>
          </m:limLow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 </m:t>
          </m:r>
          <m:sSubSup>
            <m:sSub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SupPr>
            <m:e>
              <m:r>
                <m:rPr>
                  <m:sty m:val="b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bSup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j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 xml:space="preserve">, 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F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BERT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=2⋅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BERT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BERT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BERT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BERT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</m:oMath>
      </m:oMathPara>
    </w:p>
    <w:p w14:paraId="07661058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其中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eastAsia="宋体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Times New Roman" w:hAnsi="Times New Roman" w:eastAsia="宋体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eastAsia="宋体" w:cs="Times New Roman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j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分别是生成文本 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x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和参考文本 </w:t>
      </w:r>
      <m:oMath>
        <m:acc>
          <m:accPr>
            <m:chr m:val="ˆ"/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accPr>
          <m:e>
            <m:r>
              <m:rPr/>
              <w:rPr>
                <w:rFonts w:ascii="Times New Roman" w:hAnsi="Times New Roman" w:eastAsia="宋体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</m:acc>
      </m:oMath>
      <w:r>
        <w:rPr>
          <w:rFonts w:ascii="Times New Roman" w:hAnsi="Times New Roman" w:eastAsia="宋体" w:cs="Times New Roman"/>
          <w:sz w:val="24"/>
          <w:szCs w:val="24"/>
        </w:rPr>
        <w:t xml:space="preserve"> 中词的向量表示。</w:t>
      </w:r>
    </w:p>
    <w:p w14:paraId="777A4643">
      <w:pPr>
        <w:numPr>
          <w:ilvl w:val="0"/>
          <w:numId w:val="1"/>
        </w:num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BARTScore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一种基于生成模型的评估范式，将文本评估任务转化为条件文本生成问题。BARTScore 使用预训练的序列到序列模型 BART，以源文本为输入，生成目标文本的对数似然。其核心公式为：</w:t>
      </w:r>
    </w:p>
    <w:p w14:paraId="4996ECC9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ascii="Times New Roman" w:hAnsi="Times New Roman" w:eastAsia="宋体" w:cs="Times New Roman"/>
              <w:b w:val="0"/>
              <w:i w:val="0"/>
              <w:sz w:val="24"/>
              <w:szCs w:val="24"/>
            </w:rPr>
            <m:t>BARTScore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t</m:t>
              </m:r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=1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  <m:sup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m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 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log⁡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y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&lt;</m:t>
              </m:r>
              <m:r>
                <m:rPr/>
                <w:rPr>
                  <w:rFonts w:ascii="Times New Roman" w:hAnsi="Times New Roman" w:eastAsia="宋体" w:cs="Times New Roman"/>
                  <w:sz w:val="24"/>
                  <w:szCs w:val="24"/>
                </w:rPr>
                <m:t>t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,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,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θ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)</m:t>
          </m:r>
        </m:oMath>
      </m:oMathPara>
    </w:p>
    <w:p w14:paraId="2129BC61">
      <w:pPr>
        <w:spacing w:after="220"/>
        <w:ind w:left="7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x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是源文本，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y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是待评估的目标文本，</w:t>
      </w:r>
      <m:oMath>
        <m:r>
          <m:rPr/>
          <w:rPr>
            <w:rFonts w:ascii="Times New Roman" w:hAnsi="Times New Roman" w:eastAsia="宋体" w:cs="Times New Roman"/>
            <w:sz w:val="24"/>
            <w:szCs w:val="24"/>
          </w:rPr>
          <m:t>θ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是 BART 模型的参数。该得分可以衡量不同维度质量，如生成文本基于源文本的信息量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ascii="Times New Roman" w:hAnsi="Times New Roman" w:eastAsia="宋体" w:cs="Times New Roman"/>
                <w:b w:val="0"/>
                <w:i w:val="0"/>
                <w:sz w:val="24"/>
                <w:szCs w:val="24"/>
              </w:rPr>
              <m:t>BARTScore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ascii="Times New Roman" w:hAnsi="Times New Roman" w:eastAsia="宋体" w:cs="Times New Roman"/>
                <w:b w:val="0"/>
                <w:i w:val="0"/>
                <w:sz w:val="24"/>
                <w:szCs w:val="24"/>
              </w:rPr>
              <m:t>info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=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p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(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y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|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x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和忠实度 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  <m:sty m:val="p"/>
              </m:rPr>
              <w:rPr>
                <w:rFonts w:ascii="Times New Roman" w:hAnsi="Times New Roman" w:eastAsia="宋体" w:cs="Times New Roman"/>
                <w:b w:val="0"/>
                <w:i w:val="0"/>
                <w:sz w:val="24"/>
                <w:szCs w:val="24"/>
              </w:rPr>
              <m:t>BARTScore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ascii="Times New Roman" w:hAnsi="Times New Roman" w:eastAsia="宋体" w:cs="Times New Roman"/>
                <w:b w:val="0"/>
                <w:i w:val="0"/>
                <w:sz w:val="24"/>
                <w:szCs w:val="24"/>
              </w:rPr>
              <m:t>fail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=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p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(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x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|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y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187C6D0D">
      <w:pPr>
        <w:spacing w:before="240" w:line="271" w:lineRule="auto"/>
        <w:rPr>
          <w:rFonts w:ascii="Times New Roman" w:hAnsi="Times New Roman" w:eastAsia="宋体" w:cs="Times New Roman"/>
          <w:sz w:val="24"/>
          <w:szCs w:val="24"/>
        </w:rPr>
      </w:pPr>
      <w:bookmarkStart w:id="5" w:name="bm_2_2_2_其他指标说明"/>
      <w:r>
        <w:rPr>
          <w:rFonts w:ascii="Times New Roman" w:hAnsi="Times New Roman" w:eastAsia="宋体" w:cs="Times New Roman"/>
          <w:b/>
          <w:sz w:val="24"/>
          <w:szCs w:val="24"/>
        </w:rPr>
        <w:t>2.2.2 其他指标说明</w:t>
      </w:r>
      <w:bookmarkEnd w:id="5"/>
    </w:p>
    <w:p w14:paraId="33880C04">
      <w:p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除上述复杂指标外，本研究还纳入了大量直观的评估指标，旨在全面描述生成文本的浅层特征。</w:t>
      </w:r>
    </w:p>
    <w:p w14:paraId="2BAD4F79">
      <w:pPr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计数类指标</w:t>
      </w:r>
      <w:r>
        <w:rPr>
          <w:rFonts w:ascii="Times New Roman" w:hAnsi="Times New Roman" w:eastAsia="宋体" w:cs="Times New Roman"/>
          <w:sz w:val="24"/>
          <w:szCs w:val="24"/>
        </w:rPr>
        <w:t>：如代码长度、文本长度、句子数、段落数、步骤数、修辞手法计数等，量化生成文本的规模。</w:t>
      </w:r>
    </w:p>
    <w:p w14:paraId="31AC2A0E">
      <w:pPr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比率类指标</w:t>
      </w:r>
      <w:r>
        <w:rPr>
          <w:rFonts w:ascii="Times New Roman" w:hAnsi="Times New Roman" w:eastAsia="宋体" w:cs="Times New Roman"/>
          <w:sz w:val="24"/>
          <w:szCs w:val="24"/>
        </w:rPr>
        <w:t>：如编译通过率、测试通过率、精确匹配率、压缩比、词汇多样性、独特词元比等，用于衡量生成文本的合格率、简洁度或丰富度。</w:t>
      </w:r>
    </w:p>
    <w:p w14:paraId="4144AD1D">
      <w:pPr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存在性指标</w:t>
      </w:r>
      <w:r>
        <w:rPr>
          <w:rFonts w:ascii="Times New Roman" w:hAnsi="Times New Roman" w:eastAsia="宋体" w:cs="Times New Roman"/>
          <w:sz w:val="24"/>
          <w:szCs w:val="24"/>
        </w:rPr>
        <w:t>：如包含代码、包含答案、包含推理过程、包含结论等，这些通常为布尔值（0或1），用于筛查生成内容是否具备基本要素。</w:t>
      </w:r>
    </w:p>
    <w:p w14:paraId="24C0512A">
      <w:pPr>
        <w:numPr>
          <w:ilvl w:val="0"/>
          <w:numId w:val="2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得分类指标</w:t>
      </w:r>
      <w:r>
        <w:rPr>
          <w:rFonts w:ascii="Times New Roman" w:hAnsi="Times New Roman" w:eastAsia="宋体" w:cs="Times New Roman"/>
          <w:sz w:val="24"/>
          <w:szCs w:val="24"/>
        </w:rPr>
        <w:t>：如置信度得分、连贯性得分、完整性得分等，用于评估文本的逻辑性、确定性和结构完整性。</w:t>
      </w:r>
    </w:p>
    <w:p w14:paraId="0B2C3E11">
      <w:pPr>
        <w:spacing w:after="2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通过上述指标体系，本研究将抽象的“质量”概念分解为一系列可计算、可比较的量化指标，为后续的分析奠定了坚实的数理基础。</w:t>
      </w:r>
    </w:p>
    <w:p w14:paraId="5C7577AE">
      <w:pPr>
        <w:pStyle w:val="3"/>
        <w:bidi w:val="0"/>
        <w:rPr>
          <w:rFonts w:hint="eastAsia" w:ascii="Times New Roman" w:hAnsi="Times New Roman" w:eastAsia="宋体" w:cs="Times New Roman"/>
          <w:lang w:val="en-US" w:eastAsia="zh-CN"/>
        </w:rPr>
      </w:pPr>
      <w:bookmarkStart w:id="6" w:name="_Toc4421"/>
      <w:r>
        <w:rPr>
          <w:rFonts w:hint="eastAsia" w:ascii="Times New Roman" w:hAnsi="Times New Roman" w:eastAsia="宋体" w:cs="Times New Roman"/>
          <w:lang w:val="en-US" w:eastAsia="zh-CN"/>
        </w:rPr>
        <w:t>2.3 实验方法与设计</w:t>
      </w:r>
      <w:bookmarkEnd w:id="6"/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FB65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962" w:type="dxa"/>
          </w:tcPr>
          <w:p w14:paraId="34CE9F34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drawing>
                <wp:inline distT="0" distB="0" distL="114300" distR="114300">
                  <wp:extent cx="2242820" cy="4901565"/>
                  <wp:effectExtent l="0" t="0" r="5080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820" cy="4901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954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</w:tcPr>
          <w:p w14:paraId="2E0E9F74"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图</w:t>
            </w:r>
            <w:r>
              <w:rPr>
                <w:rFonts w:hint="eastAsia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-1 </w:t>
            </w:r>
            <w:r>
              <w:rPr>
                <w:rFonts w:hint="eastAsia" w:cs="Times New Roman"/>
                <w:b/>
                <w:bCs/>
                <w:sz w:val="21"/>
                <w:szCs w:val="21"/>
                <w:vertAlign w:val="baseline"/>
                <w:lang w:val="en-US" w:eastAsia="zh-CN"/>
              </w:rPr>
              <w:t>实验分析流程</w:t>
            </w:r>
          </w:p>
        </w:tc>
      </w:tr>
    </w:tbl>
    <w:p w14:paraId="07A64527"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</w:p>
    <w:p w14:paraId="55CB2703">
      <w:pPr>
        <w:spacing w:after="2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为</w:t>
      </w:r>
      <w:r>
        <w:rPr>
          <w:rFonts w:hint="eastAsia" w:ascii="Times New Roman" w:hAnsi="Times New Roman" w:eastAsia="宋体" w:cs="Times New Roman"/>
          <w:sz w:val="24"/>
          <w:szCs w:val="24"/>
        </w:rPr>
        <w:t>评估不同任务场景下的“能质速”综合表现，并探索内在的权衡关系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设计</w:t>
      </w:r>
      <w:r>
        <w:rPr>
          <w:rFonts w:hint="eastAsia" w:cs="Times New Roman"/>
          <w:sz w:val="24"/>
          <w:szCs w:val="24"/>
          <w:lang w:val="en-US" w:eastAsia="zh-CN"/>
        </w:rPr>
        <w:t>包含</w:t>
      </w:r>
      <w:r>
        <w:rPr>
          <w:rFonts w:hint="eastAsia" w:ascii="Times New Roman" w:hAnsi="Times New Roman" w:eastAsia="宋体" w:cs="Times New Roman"/>
          <w:sz w:val="24"/>
          <w:szCs w:val="24"/>
        </w:rPr>
        <w:t>了实验设计、数据采集、统计分析与综合评分，最终服务于选型决策。本节将重点阐述实验设计的核心逻辑与具体方法。</w:t>
      </w:r>
    </w:p>
    <w:p w14:paraId="73D7D62D">
      <w:pPr>
        <w:pStyle w:val="4"/>
        <w:bidi w:val="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2.3.1 实验对象与任务定义</w:t>
      </w:r>
    </w:p>
    <w:p w14:paraId="6E5047C6">
      <w:pPr>
        <w:spacing w:after="2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为确保研究的代表性与覆盖面，</w:t>
      </w:r>
      <w:r>
        <w:rPr>
          <w:rFonts w:hint="eastAsia" w:cs="Times New Roman"/>
          <w:sz w:val="24"/>
          <w:szCs w:val="24"/>
          <w:lang w:val="en-US" w:eastAsia="zh-CN"/>
        </w:rPr>
        <w:t>我们</w:t>
      </w:r>
      <w:r>
        <w:rPr>
          <w:rFonts w:hint="eastAsia" w:ascii="Times New Roman" w:hAnsi="Times New Roman" w:eastAsia="宋体" w:cs="Times New Roman"/>
          <w:sz w:val="24"/>
          <w:szCs w:val="24"/>
        </w:rPr>
        <w:t>选取了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12个开源大语言模型</w:t>
      </w:r>
      <w:r>
        <w:rPr>
          <w:rFonts w:hint="eastAsia" w:cs="Times New Roman"/>
          <w:b w:val="0"/>
          <w:bCs/>
          <w:sz w:val="24"/>
          <w:szCs w:val="24"/>
          <w:lang w:val="en-US" w:eastAsia="zh-CN"/>
        </w:rPr>
        <w:t>为</w:t>
      </w:r>
      <w:r>
        <w:rPr>
          <w:rFonts w:hint="eastAsia" w:ascii="Times New Roman" w:hAnsi="Times New Roman" w:eastAsia="宋体" w:cs="Times New Roman"/>
          <w:sz w:val="24"/>
          <w:szCs w:val="24"/>
        </w:rPr>
        <w:t>实验对象，涵盖从2B到8B的参数规模。为模拟场景多样性，我们定义了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8类核心自然语言处理任务</w:t>
      </w:r>
      <w:r>
        <w:rPr>
          <w:rFonts w:hint="eastAsia" w:ascii="Times New Roman" w:hAnsi="Times New Roman" w:eastAsia="宋体" w:cs="Times New Roman"/>
          <w:sz w:val="24"/>
          <w:szCs w:val="24"/>
        </w:rPr>
        <w:t>：代码生成、创意写作、数学推理、问答、逻辑推理、文本摘要、翻译以及多轮对话。</w:t>
      </w:r>
      <w:r>
        <w:rPr>
          <w:rFonts w:hint="eastAsia" w:cs="Times New Roman"/>
          <w:sz w:val="24"/>
          <w:szCs w:val="24"/>
          <w:lang w:val="en-US" w:eastAsia="zh-CN"/>
        </w:rPr>
        <w:t>本研究</w:t>
      </w:r>
      <w:r>
        <w:rPr>
          <w:rFonts w:hint="eastAsia" w:ascii="Times New Roman" w:hAnsi="Times New Roman" w:eastAsia="宋体" w:cs="Times New Roman"/>
          <w:sz w:val="24"/>
          <w:szCs w:val="24"/>
        </w:rPr>
        <w:t>采集了446个有效实验样本</w:t>
      </w:r>
      <w:r>
        <w:rPr>
          <w:rFonts w:hint="eastAsia" w:cs="Times New Roman"/>
          <w:sz w:val="24"/>
          <w:szCs w:val="24"/>
          <w:lang w:val="en-US" w:eastAsia="zh-CN"/>
        </w:rPr>
        <w:t>为测试用例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55FA1229">
      <w:pPr>
        <w:pStyle w:val="4"/>
        <w:bidi w:val="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2.3.2 实验控制与数据采集</w:t>
      </w:r>
    </w:p>
    <w:p w14:paraId="7D7D04D6">
      <w:pPr>
        <w:spacing w:after="2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为保证可比性，所有实验在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统一的硬件平台</w:t>
      </w:r>
      <w:r>
        <w:rPr>
          <w:rFonts w:hint="eastAsia" w:ascii="Times New Roman" w:hAnsi="Times New Roman" w:eastAsia="宋体" w:cs="Times New Roman"/>
          <w:sz w:val="24"/>
          <w:szCs w:val="24"/>
        </w:rPr>
        <w:t>上运行</w:t>
      </w:r>
      <w:r>
        <w:rPr>
          <w:rFonts w:hint="eastAsia" w:cs="Times New Roman"/>
          <w:sz w:val="24"/>
          <w:szCs w:val="24"/>
          <w:lang w:val="en-US" w:eastAsia="zh-CN"/>
        </w:rPr>
        <w:t>和软</w:t>
      </w:r>
      <w:r>
        <w:rPr>
          <w:rFonts w:hint="eastAsia" w:ascii="Times New Roman" w:hAnsi="Times New Roman" w:eastAsia="宋体" w:cs="Times New Roman"/>
          <w:sz w:val="24"/>
          <w:szCs w:val="24"/>
        </w:rPr>
        <w:t>件环境</w:t>
      </w:r>
      <w:r>
        <w:rPr>
          <w:rFonts w:hint="eastAsia" w:cs="Times New Roman"/>
          <w:sz w:val="24"/>
          <w:szCs w:val="24"/>
          <w:lang w:val="en-US" w:eastAsia="zh-CN"/>
        </w:rPr>
        <w:t>下运行</w:t>
      </w:r>
      <w:r>
        <w:rPr>
          <w:rFonts w:hint="eastAsia" w:ascii="Times New Roman" w:hAnsi="Times New Roman" w:eastAsia="宋体" w:cs="Times New Roman"/>
          <w:sz w:val="24"/>
          <w:szCs w:val="24"/>
        </w:rPr>
        <w:t>。利用系统级</w:t>
      </w:r>
      <w:r>
        <w:rPr>
          <w:rFonts w:hint="eastAsia" w:cs="Times New Roman"/>
          <w:sz w:val="24"/>
          <w:szCs w:val="24"/>
          <w:lang w:val="en-US" w:eastAsia="zh-CN"/>
        </w:rPr>
        <w:t>工具记录</w:t>
      </w:r>
      <w:r>
        <w:rPr>
          <w:rFonts w:hint="eastAsia" w:ascii="Times New Roman" w:hAnsi="Times New Roman" w:eastAsia="宋体" w:cs="Times New Roman"/>
          <w:sz w:val="24"/>
          <w:szCs w:val="24"/>
        </w:rPr>
        <w:t>GPU的功耗、显存占用、利用率以及关键事件时间戳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实验后，自动输出包含模型响应内容与完整资源消耗记录的JSON文件。</w:t>
      </w:r>
    </w:p>
    <w:p w14:paraId="23A0B47B">
      <w:pPr>
        <w:pStyle w:val="4"/>
        <w:bidi w:val="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2.3.3 核心变量的定义与量化</w:t>
      </w:r>
    </w:p>
    <w:p w14:paraId="0CD6AFE7">
      <w:pPr>
        <w:spacing w:after="2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为构建“能质速”三维评估框架，我们对核心变量进行了如下定义与量化：</w:t>
      </w:r>
    </w:p>
    <w:p w14:paraId="6A0C9474">
      <w:pPr>
        <w:numPr>
          <w:ilvl w:val="0"/>
          <w:numId w:val="1"/>
        </w:numPr>
        <w:spacing w:after="2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质量 (Quality)</w:t>
      </w:r>
      <w:r>
        <w:rPr>
          <w:rFonts w:hint="eastAsia" w:ascii="Times New Roman" w:hAnsi="Times New Roman" w:eastAsia="宋体" w:cs="Times New Roman"/>
          <w:sz w:val="24"/>
          <w:szCs w:val="24"/>
        </w:rPr>
        <w:t>：对</w:t>
      </w:r>
      <w:r>
        <w:rPr>
          <w:rFonts w:hint="eastAsia" w:cs="Times New Roman"/>
          <w:sz w:val="24"/>
          <w:szCs w:val="24"/>
          <w:lang w:val="en-US" w:eastAsia="zh-CN"/>
        </w:rPr>
        <w:t>不同</w:t>
      </w:r>
      <w:r>
        <w:rPr>
          <w:rFonts w:hint="eastAsia" w:ascii="Times New Roman" w:hAnsi="Times New Roman" w:eastAsia="宋体" w:cs="Times New Roman"/>
          <w:sz w:val="24"/>
          <w:szCs w:val="24"/>
        </w:rPr>
        <w:t>任务选取了多个细粒度评估指标。通过PCA降维，提取出第一主成分（PC1）作为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综合质量得分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4457A71C">
      <w:pPr>
        <w:numPr>
          <w:ilvl w:val="0"/>
          <w:numId w:val="1"/>
        </w:numPr>
        <w:spacing w:after="2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能耗 (Energy)</w:t>
      </w:r>
      <w:r>
        <w:rPr>
          <w:rFonts w:hint="eastAsia" w:ascii="Times New Roman" w:hAnsi="Times New Roman" w:eastAsia="宋体" w:cs="Times New Roman"/>
          <w:sz w:val="24"/>
          <w:szCs w:val="24"/>
        </w:rPr>
        <w:t>：定义为模型生成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单个Token的平均能耗</w:t>
      </w:r>
      <w:r>
        <w:rPr>
          <w:rFonts w:hint="eastAsia" w:ascii="Times New Roman" w:hAnsi="Times New Roman" w:eastAsia="宋体" w:cs="Times New Roman"/>
          <w:sz w:val="24"/>
          <w:szCs w:val="24"/>
        </w:rPr>
        <w:t>。通过</w:t>
      </w:r>
      <w:r>
        <w:rPr>
          <w:rFonts w:hint="eastAsia" w:cs="Times New Roman"/>
          <w:sz w:val="24"/>
          <w:szCs w:val="24"/>
          <w:lang w:val="en-US" w:eastAsia="zh-CN"/>
        </w:rPr>
        <w:t>对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推理中GPU的瞬时功率曲线 </w:t>
      </w:r>
      <m:oMath>
        <m:r>
          <m:rPr/>
          <w:rPr>
            <w:rFonts w:hint="eastAsia" w:ascii="Times New Roman" w:hAnsi="Times New Roman" w:eastAsia="宋体" w:cs="Times New Roman"/>
            <w:sz w:val="24"/>
            <w:szCs w:val="24"/>
          </w:rPr>
          <m:t>P</m:t>
        </m:r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(</m:t>
        </m:r>
        <m:r>
          <m:rPr/>
          <w:rPr>
            <w:rFonts w:hint="eastAsia" w:ascii="Times New Roman" w:hAnsi="Times New Roman" w:eastAsia="宋体" w:cs="Times New Roman"/>
            <w:sz w:val="24"/>
            <w:szCs w:val="24"/>
          </w:rPr>
          <m:t>t</m:t>
        </m:r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hint="eastAsia" w:ascii="Times New Roman" w:hAnsi="Times New Roman" w:eastAsia="宋体" w:cs="Times New Roman"/>
          <w:sz w:val="24"/>
          <w:szCs w:val="24"/>
        </w:rPr>
        <w:t xml:space="preserve"> 进行时间积分，得总能耗 </w:t>
      </w:r>
      <m:oMath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total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=</m:t>
        </m:r>
        <m:nary>
          <m:naryPr>
            <m:grow m:val="1"/>
            <m:limLoc m:val="subSup"/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hint="eastAsia" w:ascii="Cambria Math" w:hAnsi="Cambria Math" w:eastAsia="宋体" w:cs="Times New Roman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Times New Roman" w:hAnsi="Times New Roman" w:eastAsia="宋体" w:cs="Times New Roman"/>
                    <w:sz w:val="24"/>
                    <w:szCs w:val="24"/>
                  </w:rPr>
                  <m:t>t</m:t>
                </m:r>
                <m:ctrlPr>
                  <w:rPr>
                    <w:rFonts w:hint="eastAsia" w:ascii="Cambria Math" w:hAnsi="Cambria Math" w:eastAsia="宋体" w:cs="Times New Roman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Times New Roman" w:hAnsi="Times New Roman" w:eastAsia="宋体" w:cs="Times New Roman"/>
                    <w:sz w:val="24"/>
                    <w:szCs w:val="24"/>
                  </w:rPr>
                  <m:t>start</m:t>
                </m:r>
                <m:ctrlPr>
                  <w:rPr>
                    <w:rFonts w:hint="eastAsia" w:ascii="Cambria Math" w:hAnsi="Cambria Math" w:eastAsia="宋体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  <m:sup>
            <m:sSub>
              <m:sSubPr>
                <m:ctrlPr>
                  <w:rPr>
                    <w:rFonts w:hint="eastAsia" w:ascii="Cambria Math" w:hAnsi="Cambria Math" w:eastAsia="宋体" w:cs="Times New Roman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Times New Roman" w:hAnsi="Times New Roman" w:eastAsia="宋体" w:cs="Times New Roman"/>
                    <w:sz w:val="24"/>
                    <w:szCs w:val="24"/>
                  </w:rPr>
                  <m:t>t</m:t>
                </m:r>
                <m:ctrlPr>
                  <w:rPr>
                    <w:rFonts w:hint="eastAsia" w:ascii="Cambria Math" w:hAnsi="Cambria Math" w:eastAsia="宋体" w:cs="Times New Roman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Times New Roman" w:hAnsi="Times New Roman" w:eastAsia="宋体" w:cs="Times New Roman"/>
                    <w:sz w:val="24"/>
                    <w:szCs w:val="24"/>
                  </w:rPr>
                  <m:t>end</m:t>
                </m:r>
                <m:ctrlPr>
                  <w:rPr>
                    <w:rFonts w:hint="eastAsia" w:ascii="Cambria Math" w:hAnsi="Cambria Math" w:eastAsia="宋体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p>
          <m:e>
            <m:r>
              <m:rPr>
                <m:sty m:val="p"/>
              </m:rPr>
              <w:rPr>
                <w:rFonts w:hint="eastAsia" w:ascii="Times New Roman" w:hAnsi="Times New Roman" w:eastAsia="宋体" w:cs="Times New Roman"/>
                <w:sz w:val="24"/>
                <w:szCs w:val="24"/>
              </w:rPr>
              <m:t> 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</m:nary>
        <m:r>
          <m:rPr/>
          <w:rPr>
            <w:rFonts w:hint="eastAsia" w:ascii="Times New Roman" w:hAnsi="Times New Roman" w:eastAsia="宋体" w:cs="Times New Roman"/>
            <w:sz w:val="24"/>
            <w:szCs w:val="24"/>
          </w:rPr>
          <m:t>P</m:t>
        </m:r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(</m:t>
        </m:r>
        <m:r>
          <m:rPr/>
          <w:rPr>
            <w:rFonts w:hint="eastAsia" w:ascii="Times New Roman" w:hAnsi="Times New Roman" w:eastAsia="宋体" w:cs="Times New Roman"/>
            <w:sz w:val="24"/>
            <w:szCs w:val="24"/>
          </w:rPr>
          <m:t>t</m:t>
        </m:r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)</m:t>
        </m:r>
        <m:r>
          <m:rPr/>
          <w:rPr>
            <w:rFonts w:hint="eastAsia" w:ascii="Times New Roman" w:hAnsi="Times New Roman" w:eastAsia="宋体" w:cs="Times New Roman"/>
            <w:sz w:val="24"/>
            <w:szCs w:val="24"/>
          </w:rPr>
          <m:t>dt</m:t>
        </m:r>
      </m:oMath>
      <w:r>
        <w:rPr>
          <w:rFonts w:hint="eastAsia" w:ascii="Times New Roman" w:hAnsi="Times New Roman" w:eastAsia="宋体" w:cs="Times New Roman"/>
          <w:sz w:val="24"/>
          <w:szCs w:val="24"/>
        </w:rPr>
        <w:t xml:space="preserve">。再将总能耗除以总Token数 </w:t>
      </w:r>
      <m:oMath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tokens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</w:rPr>
        <w:t xml:space="preserve">，得到 </w:t>
      </w:r>
      <m:oMath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=</m:t>
        </m:r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total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/</m:t>
        </m:r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tokens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49C2A36C">
      <w:pPr>
        <w:numPr>
          <w:ilvl w:val="0"/>
          <w:numId w:val="1"/>
        </w:numPr>
        <w:spacing w:after="2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速度 (Speed)</w:t>
      </w:r>
      <w:r>
        <w:rPr>
          <w:rFonts w:hint="eastAsia" w:ascii="Times New Roman" w:hAnsi="Times New Roman" w:eastAsia="宋体" w:cs="Times New Roman"/>
          <w:sz w:val="24"/>
          <w:szCs w:val="24"/>
        </w:rPr>
        <w:t>：定义为模型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推理吞吐量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。我们首先计算生成阶段总耗时 </w:t>
      </w:r>
      <m:oMath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generation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</w:rPr>
        <w:t xml:space="preserve"> 与生成Token数 </w:t>
      </w:r>
      <m:oMath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tokens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</w:rPr>
        <w:t xml:space="preserve"> 的比值 (</w:t>
      </w:r>
      <m:oMath>
        <m:r>
          <m:rPr/>
          <w:rPr>
            <w:rFonts w:hint="eastAsia" w:ascii="Times New Roman" w:hAnsi="Times New Roman" w:eastAsia="宋体" w:cs="Times New Roman"/>
            <w:sz w:val="24"/>
            <w:szCs w:val="24"/>
          </w:rPr>
          <m:t>TPOT</m:t>
        </m:r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=</m:t>
        </m:r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generation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/</m:t>
        </m:r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tokens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sz w:val="24"/>
          <w:szCs w:val="24"/>
        </w:rPr>
        <w:t xml:space="preserve">)。吞吐量 </w:t>
      </w:r>
      <m:oMath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=1/</m:t>
        </m:r>
        <m:r>
          <m:rPr/>
          <w:rPr>
            <w:rFonts w:hint="eastAsia" w:ascii="Times New Roman" w:hAnsi="Times New Roman" w:eastAsia="宋体" w:cs="Times New Roman"/>
            <w:sz w:val="24"/>
            <w:szCs w:val="24"/>
          </w:rPr>
          <m:t>TPOT</m:t>
        </m:r>
      </m:oMath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134E1622">
      <w:pPr>
        <w:pStyle w:val="4"/>
        <w:bidi w:val="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2.3.4 多目标优化分析框架</w:t>
      </w:r>
    </w:p>
    <w:p w14:paraId="56E17EA9">
      <w:pPr>
        <w:spacing w:after="2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本研究</w:t>
      </w:r>
      <w:r>
        <w:rPr>
          <w:rFonts w:hint="eastAsia" w:cs="Times New Roman"/>
          <w:sz w:val="24"/>
          <w:szCs w:val="24"/>
          <w:lang w:val="en-US" w:eastAsia="zh-CN"/>
        </w:rPr>
        <w:t>基于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多目标优化理论。将模型表现定义为三元组目标向量 </w:t>
      </w:r>
      <m:oMath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hint="eastAsia" w:ascii="Times New Roman" w:hAnsi="Times New Roman" w:eastAsia="宋体" w:cs="Times New Roman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=(1−</m:t>
        </m:r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q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,</m:t>
        </m:r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,1/</m:t>
        </m:r>
        <m:sSub>
          <m:sSubP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hint="eastAsia" w:ascii="Times New Roman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hint="eastAsia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hint="eastAsia" w:ascii="Times New Roman" w:hAnsi="Times New Roman" w:eastAsia="宋体" w:cs="Times New Roman"/>
            <w:sz w:val="24"/>
            <w:szCs w:val="24"/>
          </w:rPr>
          <m:t>)</m:t>
        </m:r>
      </m:oMath>
      <w:r>
        <w:rPr>
          <w:rFonts w:hint="eastAsia" w:ascii="Times New Roman" w:hAnsi="Times New Roman" w:eastAsia="宋体" w:cs="Times New Roman"/>
          <w:sz w:val="24"/>
          <w:szCs w:val="24"/>
        </w:rPr>
        <w:t>，通过最小化目标来寻找最优权衡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采用</w:t>
      </w:r>
      <w:r>
        <w:rPr>
          <w:rFonts w:hint="eastAsia" w:cs="Times New Roman"/>
          <w:sz w:val="24"/>
          <w:szCs w:val="24"/>
          <w:lang w:val="en-US" w:eastAsia="zh-CN"/>
        </w:rPr>
        <w:t>三类</w:t>
      </w:r>
      <w:r>
        <w:rPr>
          <w:rFonts w:hint="eastAsia" w:ascii="Times New Roman" w:hAnsi="Times New Roman" w:eastAsia="宋体" w:cs="Times New Roman"/>
          <w:sz w:val="24"/>
          <w:szCs w:val="24"/>
        </w:rPr>
        <w:t>方法：</w:t>
      </w:r>
    </w:p>
    <w:p w14:paraId="63205F00">
      <w:pPr>
        <w:numPr>
          <w:ilvl w:val="0"/>
          <w:numId w:val="2"/>
        </w:num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帕累托前沿识别</w:t>
      </w:r>
      <w:r>
        <w:rPr>
          <w:rFonts w:hint="eastAsia" w:ascii="Times New Roman" w:hAnsi="Times New Roman" w:eastAsia="宋体" w:cs="Times New Roman"/>
          <w:sz w:val="24"/>
          <w:szCs w:val="24"/>
        </w:rPr>
        <w:t>：识别</w:t>
      </w:r>
      <w:r>
        <w:rPr>
          <w:rFonts w:hint="eastAsia" w:cs="Times New Roman"/>
          <w:sz w:val="24"/>
          <w:szCs w:val="24"/>
          <w:lang w:val="en-US" w:eastAsia="zh-CN"/>
        </w:rPr>
        <w:t>各任务场景下的</w:t>
      </w:r>
      <w:r>
        <w:rPr>
          <w:rFonts w:hint="eastAsia" w:ascii="Times New Roman" w:hAnsi="Times New Roman" w:eastAsia="宋体" w:cs="Times New Roman"/>
          <w:sz w:val="24"/>
          <w:szCs w:val="24"/>
        </w:rPr>
        <w:t>非支配解，构成帕累托前沿。</w:t>
      </w:r>
    </w:p>
    <w:p w14:paraId="0E9BAD94">
      <w:pPr>
        <w:numPr>
          <w:ilvl w:val="0"/>
          <w:numId w:val="2"/>
        </w:num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拐点分析</w:t>
      </w:r>
      <w:r>
        <w:rPr>
          <w:rFonts w:hint="eastAsia" w:ascii="Times New Roman" w:hAnsi="Times New Roman" w:eastAsia="宋体" w:cs="Times New Roman"/>
          <w:sz w:val="24"/>
          <w:szCs w:val="24"/>
        </w:rPr>
        <w:t>：在质量-能耗二维前沿上识别</w:t>
      </w:r>
      <w:r>
        <w:rPr>
          <w:rFonts w:hint="eastAsia" w:cs="Times New Roman"/>
          <w:sz w:val="24"/>
          <w:szCs w:val="24"/>
          <w:lang w:val="en-US" w:eastAsia="zh-CN"/>
        </w:rPr>
        <w:t>距理想点最近的</w:t>
      </w:r>
      <w:r>
        <w:rPr>
          <w:rFonts w:hint="eastAsia" w:ascii="Times New Roman" w:hAnsi="Times New Roman" w:eastAsia="宋体" w:cs="Times New Roman"/>
          <w:sz w:val="24"/>
          <w:szCs w:val="24"/>
        </w:rPr>
        <w:t>“拐点模型”。</w:t>
      </w:r>
    </w:p>
    <w:p w14:paraId="4AA1C464">
      <w:pPr>
        <w:numPr>
          <w:ilvl w:val="0"/>
          <w:numId w:val="2"/>
        </w:num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稳健性检验</w:t>
      </w:r>
      <w:r>
        <w:rPr>
          <w:rFonts w:hint="eastAsia" w:ascii="Times New Roman" w:hAnsi="Times New Roman" w:eastAsia="宋体" w:cs="Times New Roman"/>
          <w:sz w:val="24"/>
          <w:szCs w:val="24"/>
        </w:rPr>
        <w:t>：通过扰动测试</w:t>
      </w:r>
      <w:r>
        <w:rPr>
          <w:rFonts w:hint="eastAsia" w:cs="Times New Roman"/>
          <w:sz w:val="24"/>
          <w:szCs w:val="24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sz w:val="24"/>
          <w:szCs w:val="24"/>
        </w:rPr>
        <w:t>交叉验证，确保结论的可靠性。</w:t>
      </w:r>
    </w:p>
    <w:p w14:paraId="35AA909D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通过上述系统化的实验设计，本研究旨在将模型选型转化为可量化</w:t>
      </w:r>
      <w:r>
        <w:rPr>
          <w:rFonts w:hint="eastAsia" w:cs="Times New Roman"/>
          <w:sz w:val="24"/>
          <w:szCs w:val="24"/>
          <w:lang w:val="en-US" w:eastAsia="zh-CN"/>
        </w:rPr>
        <w:t>的多</w:t>
      </w:r>
      <w:r>
        <w:rPr>
          <w:rFonts w:hint="eastAsia" w:ascii="Times New Roman" w:hAnsi="Times New Roman" w:eastAsia="宋体" w:cs="Times New Roman"/>
          <w:sz w:val="24"/>
          <w:szCs w:val="24"/>
        </w:rPr>
        <w:t>目标决策问题，</w:t>
      </w:r>
      <w:r>
        <w:rPr>
          <w:rFonts w:hint="eastAsia" w:cs="Times New Roman"/>
          <w:sz w:val="24"/>
          <w:szCs w:val="24"/>
          <w:lang w:val="en-US" w:eastAsia="zh-CN"/>
        </w:rPr>
        <w:t>为模型选择提供数据支持</w:t>
      </w:r>
      <w:bookmarkStart w:id="7" w:name="_GoBack"/>
      <w:bookmarkEnd w:id="7"/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73C0"/>
    <w:rsid w:val="00785BD8"/>
    <w:rsid w:val="00F26220"/>
    <w:rsid w:val="012515C4"/>
    <w:rsid w:val="02BF3986"/>
    <w:rsid w:val="02E77B5B"/>
    <w:rsid w:val="02F41532"/>
    <w:rsid w:val="03BB6210"/>
    <w:rsid w:val="04387465"/>
    <w:rsid w:val="046B5540"/>
    <w:rsid w:val="04DC4690"/>
    <w:rsid w:val="0579758B"/>
    <w:rsid w:val="065F7A31"/>
    <w:rsid w:val="07504B53"/>
    <w:rsid w:val="07A07BF6"/>
    <w:rsid w:val="07C84A57"/>
    <w:rsid w:val="08493DEA"/>
    <w:rsid w:val="08794BC9"/>
    <w:rsid w:val="087B7D1C"/>
    <w:rsid w:val="08E409A9"/>
    <w:rsid w:val="0980684D"/>
    <w:rsid w:val="098705F9"/>
    <w:rsid w:val="09E93CA4"/>
    <w:rsid w:val="09FF1932"/>
    <w:rsid w:val="0A3E0A39"/>
    <w:rsid w:val="0A6266FA"/>
    <w:rsid w:val="0AFB6211"/>
    <w:rsid w:val="0B321711"/>
    <w:rsid w:val="0B54456B"/>
    <w:rsid w:val="0BDF4286"/>
    <w:rsid w:val="0C5B3BDC"/>
    <w:rsid w:val="0CC003F3"/>
    <w:rsid w:val="0D41544C"/>
    <w:rsid w:val="0D621DD9"/>
    <w:rsid w:val="0D96650E"/>
    <w:rsid w:val="0DAA3634"/>
    <w:rsid w:val="0DCD3AB1"/>
    <w:rsid w:val="0DDD10F7"/>
    <w:rsid w:val="0E17302F"/>
    <w:rsid w:val="0E5E57C3"/>
    <w:rsid w:val="0EE235F9"/>
    <w:rsid w:val="0F0C223F"/>
    <w:rsid w:val="0F851480"/>
    <w:rsid w:val="0F901476"/>
    <w:rsid w:val="10763A33"/>
    <w:rsid w:val="12283471"/>
    <w:rsid w:val="12972C4E"/>
    <w:rsid w:val="12A7643B"/>
    <w:rsid w:val="12B24C82"/>
    <w:rsid w:val="12CB3CF7"/>
    <w:rsid w:val="12FF0EBB"/>
    <w:rsid w:val="13052BC6"/>
    <w:rsid w:val="131E0A27"/>
    <w:rsid w:val="138F0F48"/>
    <w:rsid w:val="13A85D99"/>
    <w:rsid w:val="148965C7"/>
    <w:rsid w:val="15154D22"/>
    <w:rsid w:val="15204C96"/>
    <w:rsid w:val="15400323"/>
    <w:rsid w:val="158B6FA2"/>
    <w:rsid w:val="16190030"/>
    <w:rsid w:val="167F30CD"/>
    <w:rsid w:val="1683496B"/>
    <w:rsid w:val="17D80701"/>
    <w:rsid w:val="17E51656"/>
    <w:rsid w:val="19ED659F"/>
    <w:rsid w:val="1AC9700C"/>
    <w:rsid w:val="1AF1457E"/>
    <w:rsid w:val="1AF26BB7"/>
    <w:rsid w:val="1AF5395E"/>
    <w:rsid w:val="1B7262F1"/>
    <w:rsid w:val="1B9368CB"/>
    <w:rsid w:val="1C2A28E5"/>
    <w:rsid w:val="1CBA78D0"/>
    <w:rsid w:val="1CBD0799"/>
    <w:rsid w:val="1D931894"/>
    <w:rsid w:val="1DCC746F"/>
    <w:rsid w:val="1E6C6158"/>
    <w:rsid w:val="1EE2660B"/>
    <w:rsid w:val="1F402238"/>
    <w:rsid w:val="1F6E6A1B"/>
    <w:rsid w:val="1F866F07"/>
    <w:rsid w:val="1FA70EB0"/>
    <w:rsid w:val="1FC23AE2"/>
    <w:rsid w:val="1FD9754F"/>
    <w:rsid w:val="1FFC12EA"/>
    <w:rsid w:val="20062021"/>
    <w:rsid w:val="20863CB7"/>
    <w:rsid w:val="22387500"/>
    <w:rsid w:val="223C34B6"/>
    <w:rsid w:val="2304785B"/>
    <w:rsid w:val="23390CF8"/>
    <w:rsid w:val="23A07489"/>
    <w:rsid w:val="240A6030"/>
    <w:rsid w:val="24450CA1"/>
    <w:rsid w:val="24EE7CAF"/>
    <w:rsid w:val="2580570A"/>
    <w:rsid w:val="25CD1194"/>
    <w:rsid w:val="25F27417"/>
    <w:rsid w:val="26C22583"/>
    <w:rsid w:val="26F1291B"/>
    <w:rsid w:val="274F15CD"/>
    <w:rsid w:val="27595274"/>
    <w:rsid w:val="27923180"/>
    <w:rsid w:val="28973DF2"/>
    <w:rsid w:val="28DC0DDF"/>
    <w:rsid w:val="292559B5"/>
    <w:rsid w:val="298B549C"/>
    <w:rsid w:val="2A0B250F"/>
    <w:rsid w:val="2A66785E"/>
    <w:rsid w:val="2AA70850"/>
    <w:rsid w:val="2AE35581"/>
    <w:rsid w:val="2B0F5F95"/>
    <w:rsid w:val="2B3D4D7E"/>
    <w:rsid w:val="2B4D3D5B"/>
    <w:rsid w:val="2B515C4F"/>
    <w:rsid w:val="2B6F5066"/>
    <w:rsid w:val="2B762959"/>
    <w:rsid w:val="2C0A7DE1"/>
    <w:rsid w:val="2CB97AED"/>
    <w:rsid w:val="2CE86227"/>
    <w:rsid w:val="2CF134CA"/>
    <w:rsid w:val="2D80549A"/>
    <w:rsid w:val="2DD87F45"/>
    <w:rsid w:val="2EA72D69"/>
    <w:rsid w:val="2EB060C2"/>
    <w:rsid w:val="2F106AB6"/>
    <w:rsid w:val="2FC36147"/>
    <w:rsid w:val="30C00966"/>
    <w:rsid w:val="30C13C90"/>
    <w:rsid w:val="30D95414"/>
    <w:rsid w:val="314D62F2"/>
    <w:rsid w:val="31E05969"/>
    <w:rsid w:val="336C5A6D"/>
    <w:rsid w:val="33E5680D"/>
    <w:rsid w:val="33F06646"/>
    <w:rsid w:val="341A0848"/>
    <w:rsid w:val="35035CE9"/>
    <w:rsid w:val="35036FE8"/>
    <w:rsid w:val="35143D96"/>
    <w:rsid w:val="3686211E"/>
    <w:rsid w:val="36F558B9"/>
    <w:rsid w:val="37C464D4"/>
    <w:rsid w:val="37DD373C"/>
    <w:rsid w:val="38194E02"/>
    <w:rsid w:val="39450306"/>
    <w:rsid w:val="395010EE"/>
    <w:rsid w:val="3A076FF0"/>
    <w:rsid w:val="3AC27952"/>
    <w:rsid w:val="3AE05E24"/>
    <w:rsid w:val="3B807CEE"/>
    <w:rsid w:val="3B9620CF"/>
    <w:rsid w:val="3C425AB9"/>
    <w:rsid w:val="3C973023"/>
    <w:rsid w:val="3D8C3E48"/>
    <w:rsid w:val="3E600908"/>
    <w:rsid w:val="3E910041"/>
    <w:rsid w:val="3F32185C"/>
    <w:rsid w:val="3F5211D7"/>
    <w:rsid w:val="3F702A1E"/>
    <w:rsid w:val="40082068"/>
    <w:rsid w:val="404F780F"/>
    <w:rsid w:val="40CD2C3F"/>
    <w:rsid w:val="41A3382D"/>
    <w:rsid w:val="41D84268"/>
    <w:rsid w:val="42105272"/>
    <w:rsid w:val="42E20147"/>
    <w:rsid w:val="43111D4D"/>
    <w:rsid w:val="43C97C5C"/>
    <w:rsid w:val="448D2AFB"/>
    <w:rsid w:val="45D0687F"/>
    <w:rsid w:val="45F50C66"/>
    <w:rsid w:val="45FD4E54"/>
    <w:rsid w:val="46B83C86"/>
    <w:rsid w:val="46E50C5D"/>
    <w:rsid w:val="46FA3B28"/>
    <w:rsid w:val="476E0DE5"/>
    <w:rsid w:val="4860425D"/>
    <w:rsid w:val="49A117B0"/>
    <w:rsid w:val="4AC50C38"/>
    <w:rsid w:val="4B1109B8"/>
    <w:rsid w:val="4BB30ECF"/>
    <w:rsid w:val="4C955487"/>
    <w:rsid w:val="4CD63E9B"/>
    <w:rsid w:val="4D26727B"/>
    <w:rsid w:val="4DFE3D22"/>
    <w:rsid w:val="4F2C4E99"/>
    <w:rsid w:val="4F5A0E97"/>
    <w:rsid w:val="4FB15E93"/>
    <w:rsid w:val="4FD14760"/>
    <w:rsid w:val="4FD34429"/>
    <w:rsid w:val="50316363"/>
    <w:rsid w:val="504023D9"/>
    <w:rsid w:val="50493828"/>
    <w:rsid w:val="505226DD"/>
    <w:rsid w:val="5088321F"/>
    <w:rsid w:val="50E7594A"/>
    <w:rsid w:val="50F7018A"/>
    <w:rsid w:val="51E27703"/>
    <w:rsid w:val="52424902"/>
    <w:rsid w:val="526B5AC6"/>
    <w:rsid w:val="534112A6"/>
    <w:rsid w:val="538545A2"/>
    <w:rsid w:val="53F41D4A"/>
    <w:rsid w:val="53F72CCF"/>
    <w:rsid w:val="53F80116"/>
    <w:rsid w:val="548B23F5"/>
    <w:rsid w:val="54CC5154"/>
    <w:rsid w:val="54F14BBA"/>
    <w:rsid w:val="554705F6"/>
    <w:rsid w:val="567B29ED"/>
    <w:rsid w:val="56D241F0"/>
    <w:rsid w:val="56F37C7C"/>
    <w:rsid w:val="576B68A8"/>
    <w:rsid w:val="57834874"/>
    <w:rsid w:val="57E027DF"/>
    <w:rsid w:val="58592436"/>
    <w:rsid w:val="58733B0D"/>
    <w:rsid w:val="591B58C0"/>
    <w:rsid w:val="5A3D6C9C"/>
    <w:rsid w:val="5A7F3CF8"/>
    <w:rsid w:val="5AEC372E"/>
    <w:rsid w:val="5BFA52A4"/>
    <w:rsid w:val="5C5A0930"/>
    <w:rsid w:val="5C7B0963"/>
    <w:rsid w:val="5D051A14"/>
    <w:rsid w:val="5D3F47CB"/>
    <w:rsid w:val="5D433711"/>
    <w:rsid w:val="5E21105E"/>
    <w:rsid w:val="5E9C1828"/>
    <w:rsid w:val="5ED574D6"/>
    <w:rsid w:val="5F2D45B4"/>
    <w:rsid w:val="5F337104"/>
    <w:rsid w:val="5F942D12"/>
    <w:rsid w:val="60021D65"/>
    <w:rsid w:val="601B2AEB"/>
    <w:rsid w:val="602C0169"/>
    <w:rsid w:val="604E7E90"/>
    <w:rsid w:val="606131E6"/>
    <w:rsid w:val="609E0F14"/>
    <w:rsid w:val="61C45941"/>
    <w:rsid w:val="621A4BF4"/>
    <w:rsid w:val="627F2A5F"/>
    <w:rsid w:val="628F18F9"/>
    <w:rsid w:val="62A944DD"/>
    <w:rsid w:val="62DB2AED"/>
    <w:rsid w:val="62DD22DA"/>
    <w:rsid w:val="63577E08"/>
    <w:rsid w:val="63D619DB"/>
    <w:rsid w:val="63DB6B9C"/>
    <w:rsid w:val="63E751C0"/>
    <w:rsid w:val="63F374BD"/>
    <w:rsid w:val="651A35D6"/>
    <w:rsid w:val="66280004"/>
    <w:rsid w:val="66BF27F4"/>
    <w:rsid w:val="66C94B94"/>
    <w:rsid w:val="66FA1019"/>
    <w:rsid w:val="67302D72"/>
    <w:rsid w:val="673E141B"/>
    <w:rsid w:val="677C41DE"/>
    <w:rsid w:val="67892672"/>
    <w:rsid w:val="6805760C"/>
    <w:rsid w:val="68B40255"/>
    <w:rsid w:val="69817681"/>
    <w:rsid w:val="69FD047A"/>
    <w:rsid w:val="6A53227F"/>
    <w:rsid w:val="6A63251A"/>
    <w:rsid w:val="6AB33088"/>
    <w:rsid w:val="6AF942D9"/>
    <w:rsid w:val="6B0B3FD4"/>
    <w:rsid w:val="6B6E700A"/>
    <w:rsid w:val="6BD02BD9"/>
    <w:rsid w:val="6BE72DB3"/>
    <w:rsid w:val="6CA709F7"/>
    <w:rsid w:val="6D332463"/>
    <w:rsid w:val="6D622389"/>
    <w:rsid w:val="6EA21A59"/>
    <w:rsid w:val="6F3354C8"/>
    <w:rsid w:val="6F4F7D4D"/>
    <w:rsid w:val="71845ACA"/>
    <w:rsid w:val="71C965BE"/>
    <w:rsid w:val="72016718"/>
    <w:rsid w:val="72AC1CC9"/>
    <w:rsid w:val="739357C1"/>
    <w:rsid w:val="73AB1F81"/>
    <w:rsid w:val="740E02D5"/>
    <w:rsid w:val="74A05D67"/>
    <w:rsid w:val="752850C7"/>
    <w:rsid w:val="75287D2D"/>
    <w:rsid w:val="75720FA8"/>
    <w:rsid w:val="759B5BFF"/>
    <w:rsid w:val="75B01D32"/>
    <w:rsid w:val="75E30307"/>
    <w:rsid w:val="76BB18DA"/>
    <w:rsid w:val="76F00ACA"/>
    <w:rsid w:val="776D0BB8"/>
    <w:rsid w:val="79344461"/>
    <w:rsid w:val="796075AF"/>
    <w:rsid w:val="79BD2A0E"/>
    <w:rsid w:val="7A321C72"/>
    <w:rsid w:val="7A8A161B"/>
    <w:rsid w:val="7AC7367E"/>
    <w:rsid w:val="7BB156F1"/>
    <w:rsid w:val="7BFB73C0"/>
    <w:rsid w:val="7C2428D0"/>
    <w:rsid w:val="7C4864CC"/>
    <w:rsid w:val="7CD73DE6"/>
    <w:rsid w:val="7CEF4308"/>
    <w:rsid w:val="7DF551A9"/>
    <w:rsid w:val="7E113AA3"/>
    <w:rsid w:val="7E662974"/>
    <w:rsid w:val="7EBB44F8"/>
    <w:rsid w:val="7F533BF8"/>
    <w:rsid w:val="7F923FCB"/>
    <w:rsid w:val="7F9B20D8"/>
    <w:rsid w:val="7FF5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4">
    <w:name w:val="Normal Grid"/>
    <w:basedOn w:val="9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15">
    <w:name w:val="Verbatim Char"/>
    <w:qFormat/>
    <w:uiPriority w:val="0"/>
    <w:rPr>
      <w:rFonts w:ascii="Times New Roman" w:hAnsi="Times New Roman" w:eastAsia="宋体" w:cs="Times New Roman"/>
      <w:kern w:val="2"/>
      <w:sz w:val="24"/>
      <w:szCs w:val="24"/>
      <w:shd w:val="clear" w:color="auto" w:fill="F8F8FA"/>
      <w:lang w:val="en-US" w:eastAsia="zh-CN" w:bidi="ar-SA"/>
    </w:rPr>
  </w:style>
  <w:style w:type="character" w:customStyle="1" w:styleId="16">
    <w:name w:val="font21"/>
    <w:basedOn w:val="11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11596</Words>
  <Characters>15061</Characters>
  <Lines>0</Lines>
  <Paragraphs>0</Paragraphs>
  <TotalTime>81</TotalTime>
  <ScaleCrop>false</ScaleCrop>
  <LinksUpToDate>false</LinksUpToDate>
  <CharactersWithSpaces>16054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2026-03-09T04:39:00Z</dcterms:created>
  <dc:creator>陈锦文</dc:creator>
  <cp:lastModifiedBy>陈锦文</cp:lastModifiedBy>
  <dcterms:modified xsi:type="dcterms:W3CDTF">2026-03-13T13:10:07Z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FB0D000FD10F4291AE73C52737E19E2E_13</vt:lpwstr>
  </property>
  <property fmtid="{D5CDD505-2E9C-101B-9397-08002B2CF9AE}" pid="4" name="KSOTemplateDocerSaveRecord">
    <vt:lpwstr>eyJoZGlkIjoiNjVjZmQyZTA5NThiODFlNzJlYjliOGM5NWNlYWViNDEiLCJ1c2VySWQiOiI4MDAyMjU5MzkifQ==</vt:lpwstr>
  </property>
</Properties>
</file>