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F7B810">
      <w:pPr>
        <w:pStyle w:val="2"/>
        <w:keepNext w:val="0"/>
        <w:keepLines w:val="0"/>
        <w:widowControl/>
        <w:suppressLineNumbers w:val="0"/>
        <w:shd w:val="clear"/>
        <w:spacing w:before="0" w:beforeAutospacing="0" w:after="0" w:afterAutospacing="0" w:line="240" w:lineRule="auto"/>
        <w:rPr>
          <w:rFonts w:hint="default" w:ascii="Times New Roman" w:hAnsi="Times New Roman" w:eastAsia="宋体" w:cs="Times New Roman"/>
          <w:lang w:val="en-US" w:eastAsia="zh-CN"/>
        </w:rPr>
      </w:pPr>
      <w:bookmarkStart w:id="0" w:name="_Toc25280"/>
      <w:r>
        <w:rPr>
          <w:rFonts w:hint="eastAsia" w:ascii="Times New Roman" w:hAnsi="Times New Roman" w:eastAsia="宋体" w:cs="Times New Roman"/>
          <w:lang w:val="en-US" w:eastAsia="zh-CN"/>
        </w:rPr>
        <w:t>3 数据基础与初步分析</w:t>
      </w:r>
      <w:bookmarkEnd w:id="0"/>
    </w:p>
    <w:p w14:paraId="7FFACDBE">
      <w:pPr>
        <w:pStyle w:val="3"/>
        <w:shd w:val="clear"/>
        <w:bidi w:val="0"/>
        <w:spacing w:before="0" w:beforeAutospacing="0" w:after="0" w:afterAutospacing="0" w:line="240" w:lineRule="auto"/>
        <w:rPr>
          <w:rFonts w:hint="eastAsia" w:ascii="Times New Roman" w:hAnsi="Times New Roman" w:eastAsia="宋体" w:cs="Times New Roman"/>
          <w:lang w:val="en-US" w:eastAsia="zh-CN"/>
        </w:rPr>
      </w:pPr>
      <w:bookmarkStart w:id="1" w:name="_Toc5248"/>
      <w:r>
        <w:rPr>
          <w:rFonts w:hint="eastAsia" w:ascii="Times New Roman" w:hAnsi="Times New Roman" w:eastAsia="宋体" w:cs="Times New Roman"/>
          <w:lang w:val="en-US" w:eastAsia="zh-CN"/>
        </w:rPr>
        <w:t>3.1数据预处理</w:t>
      </w:r>
      <w:bookmarkEnd w:id="1"/>
    </w:p>
    <w:p w14:paraId="04721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本研究的数据来源于对 12 个不同规模和量化版本的大语言模型进行的系统实验，涵盖了代码生成、创意写作、数学推理、问答、逻辑推理、文本摘要、翻译及多轮对话共 8 种任务类型，总计 446 个有效样本。</w:t>
      </w:r>
    </w:p>
    <w:p w14:paraId="60D83EA5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bookmarkStart w:id="2" w:name="bm_3_1_1_数据提取"/>
      <w:r>
        <w:rPr>
          <w:rFonts w:ascii="Times New Roman" w:hAnsi="Times New Roman" w:eastAsia="宋体" w:cs="Times New Roman"/>
        </w:rPr>
        <w:t>3.1.1 数据提取</w:t>
      </w:r>
      <w:bookmarkEnd w:id="2"/>
    </w:p>
    <w:p w14:paraId="367FD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遍历所有模型目录，从摘要 JSON 中提取性能指标与资源消耗数据，从原始 JSON 中提取问答文本，并自动处理特殊字符（如换行符、引号）以保证 CSV 格式正确。为支持横向对比，为每个任务类型构建对比矩阵，以模型为行、问题编号为列，存储回答文本、吞吐量、延迟、能耗等指标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6395B841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bookmarkStart w:id="3" w:name="bm_3_1_2_质量评估"/>
      <w:r>
        <w:rPr>
          <w:rFonts w:ascii="Times New Roman" w:hAnsi="Times New Roman" w:eastAsia="宋体" w:cs="Times New Roman"/>
        </w:rPr>
        <w:t>3.1.2 质量评估</w:t>
      </w:r>
      <w:bookmarkEnd w:id="3"/>
    </w:p>
    <w:p w14:paraId="1EE45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jc w:val="left"/>
        <w:textAlignment w:val="auto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针对各任务类型的特点，设计专用质量评估器，计算多维度质量指标，详见表3-1。</w:t>
      </w:r>
    </w:p>
    <w:p w14:paraId="310ECE5D">
      <w:pPr>
        <w:spacing w:beforeAutospacing="0" w:afterAutospacing="0" w:line="240" w:lineRule="auto"/>
        <w:jc w:val="center"/>
        <w:rPr>
          <w:rFonts w:hint="default" w:ascii="Times New Roman" w:hAnsi="Times New Roman" w:eastAsia="宋体" w:cs="Times New Roman"/>
          <w:i w:val="0"/>
          <w:i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i w:val="0"/>
          <w:iCs/>
          <w:sz w:val="21"/>
          <w:szCs w:val="21"/>
          <w:lang w:val="en-US" w:eastAsia="zh-CN"/>
        </w:rPr>
        <w:t xml:space="preserve">表3-1 </w:t>
      </w:r>
      <w:r>
        <w:rPr>
          <w:rFonts w:ascii="Times New Roman" w:hAnsi="Times New Roman" w:eastAsia="宋体" w:cs="Times New Roman"/>
          <w:i w:val="0"/>
          <w:iCs/>
          <w:sz w:val="21"/>
          <w:szCs w:val="21"/>
        </w:rPr>
        <w:t>各任务类型的主要评估指</w:t>
      </w:r>
    </w:p>
    <w:tbl>
      <w:tblPr>
        <w:tblW w:w="81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0"/>
        <w:gridCol w:w="6830"/>
      </w:tblGrid>
      <w:tr w14:paraId="590442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047F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任务类型</w:t>
            </w:r>
          </w:p>
        </w:tc>
        <w:tc>
          <w:tcPr>
            <w:tcW w:w="683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6FEED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评估指标</w:t>
            </w:r>
          </w:p>
        </w:tc>
      </w:tr>
      <w:tr w14:paraId="727F03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62E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代码生成</w:t>
            </w:r>
          </w:p>
        </w:tc>
        <w:tc>
          <w:tcPr>
            <w:tcW w:w="683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4CA4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编译成功率、代码行数、圈复杂度、测试用例通过率等</w:t>
            </w:r>
          </w:p>
        </w:tc>
      </w:tr>
      <w:tr w14:paraId="39D9E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449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创意写作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73B74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Distinct-1/Distinct-2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（不重复词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/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二元组比例）、修辞手法总数、困惑度等</w:t>
            </w:r>
          </w:p>
        </w:tc>
      </w:tr>
      <w:tr w14:paraId="6809D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4B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数学推理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9974E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精确匹配率、数值匹配率等</w:t>
            </w:r>
          </w:p>
        </w:tc>
      </w:tr>
      <w:tr w14:paraId="7327F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A8E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问答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EA14D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置信度、技术术语密度等</w:t>
            </w:r>
          </w:p>
        </w:tc>
      </w:tr>
      <w:tr w14:paraId="06157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0EDA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逻辑推理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FAAFD9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结论正确性、推理完整性等</w:t>
            </w:r>
          </w:p>
        </w:tc>
      </w:tr>
      <w:tr w14:paraId="24A9EB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541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文本摘要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0234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ROUGE-1/2/L F1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BERTScore F1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BARTScore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、压缩比等</w:t>
            </w:r>
          </w:p>
        </w:tc>
      </w:tr>
      <w:tr w14:paraId="489BC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2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68C3F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翻译</w:t>
            </w:r>
          </w:p>
        </w:tc>
        <w:tc>
          <w:tcPr>
            <w:tcW w:w="683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0F414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BLEU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chrF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 xml:space="preserve">BERTScore </w:t>
            </w:r>
            <w:r>
              <w:rPr>
                <w:rStyle w:val="17"/>
                <w:b w:val="0"/>
                <w:bdr w:val="none" w:color="auto" w:sz="0" w:space="0"/>
                <w:lang w:val="en-US" w:eastAsia="zh-CN" w:bidi="ar"/>
              </w:rPr>
              <w:t>等</w:t>
            </w:r>
          </w:p>
        </w:tc>
      </w:tr>
    </w:tbl>
    <w:p w14:paraId="5908D915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bookmarkStart w:id="4" w:name="bm_3_1_3_数据清洗与标准化"/>
      <w:r>
        <w:rPr>
          <w:rFonts w:ascii="Times New Roman" w:hAnsi="Times New Roman" w:eastAsia="宋体" w:cs="Times New Roman"/>
        </w:rPr>
        <w:t>3.1.3 数据清洗与标准化</w:t>
      </w:r>
      <w:bookmarkEnd w:id="4"/>
    </w:p>
    <w:p w14:paraId="66FEF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bookmarkStart w:id="5" w:name="bm_3_1_4_数据验证"/>
      <w:r>
        <w:rPr>
          <w:rFonts w:hint="eastAsia" w:ascii="Times New Roman" w:hAnsi="Times New Roman" w:eastAsia="宋体" w:cs="Times New Roman"/>
          <w:sz w:val="24"/>
          <w:szCs w:val="24"/>
        </w:rPr>
        <w:t>通过数据管道对原始回答和质量评分进行统一清洗与转换：统一列名格式（小写+下划线），标准化模型与任务名称；转换数值字段类型；对缺失的性能指标用中位数填充，空回答仅标记不删除；基于模型、任务类型、问题ID和运行ID去重；最后计算派生指标：按任务类型对吞吐量、延迟、能耗和质量指标进行 min-max 归一化，并得到效率得分（加权和）与质效比（归一化质量/效率得分）。</w:t>
      </w:r>
    </w:p>
    <w:p w14:paraId="57A31B94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3.1.4 数据验证</w:t>
      </w:r>
      <w:bookmarkEnd w:id="5"/>
    </w:p>
    <w:p w14:paraId="7BA46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设计多层次验证机制：模式验证（字段存在性与类型）、完整性验证（缺失值、空回答、样本覆盖）、一致性验证（数值合理性、异常值识别）。验证结果以数据质量评分（满分100）和详细报告输出，确保后续分析可靠性。最终数据集存储为 Parquet 格式（Snappy 压缩）。</w:t>
      </w:r>
    </w:p>
    <w:p w14:paraId="06FE7038">
      <w:pPr>
        <w:pStyle w:val="3"/>
        <w:shd w:val="clear"/>
        <w:bidi w:val="0"/>
        <w:spacing w:before="0" w:beforeAutospacing="0" w:after="0" w:afterAutospacing="0" w:line="240" w:lineRule="auto"/>
        <w:rPr>
          <w:rFonts w:hint="eastAsia" w:ascii="Times New Roman" w:hAnsi="Times New Roman" w:eastAsia="宋体" w:cs="Times New Roman"/>
          <w:lang w:val="en-US" w:eastAsia="zh-CN"/>
        </w:rPr>
      </w:pPr>
      <w:bookmarkStart w:id="6" w:name="_Toc29019"/>
      <w:r>
        <w:rPr>
          <w:rFonts w:hint="eastAsia" w:ascii="Times New Roman" w:hAnsi="Times New Roman" w:eastAsia="宋体" w:cs="Times New Roman"/>
          <w:lang w:val="en-US" w:eastAsia="zh-CN"/>
        </w:rPr>
        <w:t>3.2 原始数据初步分析</w:t>
      </w:r>
      <w:bookmarkEnd w:id="6"/>
    </w:p>
    <w:p w14:paraId="2461E8A1">
      <w:pPr>
        <w:pStyle w:val="4"/>
        <w:bidi w:val="0"/>
        <w:spacing w:before="0" w:beforeAutospacing="0" w:after="0" w:afterAutospacing="0" w:line="240" w:lineRule="auto"/>
        <w:rPr>
          <w:rFonts w:hint="eastAsia" w:ascii="Times New Roman" w:hAnsi="Times New Roman" w:eastAsia="宋体" w:cs="Times New Roman"/>
        </w:rPr>
      </w:pPr>
      <w:bookmarkStart w:id="7" w:name="bm_3_2_1_数据概况与研究问题"/>
      <w:r>
        <w:rPr>
          <w:rFonts w:ascii="Times New Roman" w:hAnsi="Times New Roman" w:eastAsia="宋体" w:cs="Times New Roman"/>
        </w:rPr>
        <w:t xml:space="preserve">3.2.1 </w:t>
      </w:r>
      <w:r>
        <w:rPr>
          <w:rFonts w:hint="eastAsia" w:ascii="Times New Roman" w:hAnsi="Times New Roman" w:eastAsia="宋体" w:cs="Times New Roman"/>
        </w:rPr>
        <w:t>数据概况与阶段结构</w:t>
      </w:r>
      <w:bookmarkEnd w:id="7"/>
    </w:p>
    <w:p w14:paraId="345FC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实验共完成446次推理任务，涉及12种开源模型与8类任务。系统持续记录GPU功耗、显存占用、利用率及关键事件时间戳，形成细粒度时间序列。关键事件包括推理开始、首token生成及推理结束，据此将推理</w:t>
      </w:r>
      <w:r>
        <w:rPr>
          <w:rFonts w:hint="eastAsia" w:cs="Times New Roman"/>
          <w:sz w:val="24"/>
          <w:szCs w:val="24"/>
          <w:lang w:eastAsia="zh-CN"/>
        </w:rPr>
        <w:t>（</w:t>
      </w:r>
      <w:r>
        <w:rPr>
          <w:rFonts w:hint="eastAsia" w:cs="Times New Roman"/>
          <w:sz w:val="24"/>
          <w:szCs w:val="24"/>
          <w:lang w:val="en-US" w:eastAsia="zh-CN"/>
        </w:rPr>
        <w:t>图3-1</w:t>
      </w:r>
      <w:r>
        <w:rPr>
          <w:rFonts w:hint="eastAsia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</w:rPr>
        <w:t>过程划分为三个阶段：</w:t>
      </w:r>
    </w:p>
    <w:p w14:paraId="4EBCDA7D">
      <w:pPr>
        <w:numPr>
          <w:ilvl w:val="0"/>
          <w:numId w:val="1"/>
        </w:numPr>
        <w:spacing w:beforeAutospacing="0" w:afterAutospacing="0" w:line="24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模型加载阶段：初始化与权重加载，显存占用从2.4 GB升至5.7 GB，GPU利用率达80%以上，功耗从7.5 W升至80 W。</w:t>
      </w:r>
    </w:p>
    <w:p w14:paraId="231C4FE1">
      <w:pPr>
        <w:numPr>
          <w:ilvl w:val="0"/>
          <w:numId w:val="1"/>
        </w:numPr>
        <w:spacing w:beforeAutospacing="0" w:afterAutospacing="0" w:line="240" w:lineRule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首token生成阶段：从开始到首token输出平均耗时约8.3秒，GPU利用率维持在85%–95%，功耗80–90 W。</w:t>
      </w:r>
    </w:p>
    <w:p w14:paraId="22D2C94D">
      <w:pPr>
        <w:numPr>
          <w:ilvl w:val="0"/>
          <w:numId w:val="1"/>
        </w:numPr>
        <w:spacing w:beforeAutospacing="0" w:afterAutospacing="0" w:line="240" w:lineRule="auto"/>
      </w:pPr>
      <w:r>
        <w:rPr>
          <w:rFonts w:hint="eastAsia" w:ascii="Times New Roman" w:hAnsi="Times New Roman" w:eastAsia="宋体" w:cs="Times New Roman"/>
          <w:sz w:val="24"/>
          <w:szCs w:val="24"/>
        </w:rPr>
        <w:t>持续生成阶段：后续token生成，GPU平均利用率85.9%，功耗83 W左右，显存占用稳定。</w:t>
      </w: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0EAD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5CB269A0">
            <w:pPr>
              <w:spacing w:beforeAutospacing="0" w:afterAutospacing="0"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3702050" cy="2180590"/>
                  <wp:effectExtent l="0" t="0" r="6350" b="3810"/>
                  <wp:docPr id="6" name="图片 6" descr="01_power_resource_curv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1_power_resource_curves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2050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B61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3CCB47E5">
            <w:pPr>
              <w:spacing w:beforeAutospacing="0" w:afterAutospacing="0" w:line="240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图3-1 单次任务资源使用时间序列图(deepseek-r1:8b)</w:t>
            </w:r>
          </w:p>
        </w:tc>
      </w:tr>
    </w:tbl>
    <w:p w14:paraId="234B64FD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bookmarkStart w:id="8" w:name="bm_3_2_3_首_token_延迟分析_ttft"/>
      <w:r>
        <w:rPr>
          <w:rFonts w:ascii="Times New Roman" w:hAnsi="Times New Roman" w:eastAsia="宋体" w:cs="Times New Roman"/>
        </w:rPr>
        <w:t xml:space="preserve">3.2.3 </w:t>
      </w:r>
      <w:bookmarkEnd w:id="8"/>
      <w:r>
        <w:rPr>
          <w:rFonts w:hint="eastAsia" w:ascii="Times New Roman" w:hAnsi="Times New Roman" w:eastAsia="宋体" w:cs="Times New Roman"/>
        </w:rPr>
        <w:t xml:space="preserve"> 延迟分析（TTFT 与 TPOT）</w:t>
      </w: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B75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2012BD18">
            <w:pPr>
              <w:spacing w:beforeAutospacing="0" w:afterAutospacing="0"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4430395" cy="1964055"/>
                  <wp:effectExtent l="0" t="0" r="1905" b="4445"/>
                  <wp:docPr id="16" name="图片 16" descr="03_ttft_distribu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03_ttft_distribution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395" cy="1964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EF7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6B0373D9">
            <w:pPr>
              <w:spacing w:beforeAutospacing="0" w:afterAutospacing="0"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3-2</w:t>
            </w: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>TTFT分布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详情</w:t>
            </w:r>
          </w:p>
        </w:tc>
      </w:tr>
      <w:tr w14:paraId="1A251E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  <w:vAlign w:val="top"/>
          </w:tcPr>
          <w:p w14:paraId="0ABF0063">
            <w:pPr>
              <w:spacing w:beforeAutospacing="0" w:afterAutospacing="0" w:line="240" w:lineRule="auto"/>
              <w:jc w:val="both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bookmarkStart w:id="9" w:name="bm_3_2_4_token_生成延迟分析_tpot"/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2763520</wp:posOffset>
                  </wp:positionH>
                  <wp:positionV relativeFrom="paragraph">
                    <wp:posOffset>85090</wp:posOffset>
                  </wp:positionV>
                  <wp:extent cx="2527935" cy="1250315"/>
                  <wp:effectExtent l="0" t="0" r="12065" b="6985"/>
                  <wp:wrapSquare wrapText="bothSides"/>
                  <wp:docPr id="25" name="图片 25" descr="06_latency_over_ti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06_latency_over_tim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935" cy="1250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2419985" cy="1749425"/>
                  <wp:effectExtent l="0" t="0" r="5715" b="3175"/>
                  <wp:docPr id="23" name="图片 23" descr="05_tpot_distribu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05_tpot_distribution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985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FA3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22" w:type="dxa"/>
          </w:tcPr>
          <w:p w14:paraId="443DDE5E">
            <w:pPr>
              <w:spacing w:beforeAutospacing="0" w:afterAutospacing="0"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3-3</w:t>
            </w: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 xml:space="preserve"> 各模型的TPOT分布图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左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eastAsia="zh-CN"/>
              </w:rPr>
              <w:t>）、</w:t>
            </w: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>生成延迟随时间的变化折线图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右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eastAsia="zh-CN"/>
              </w:rPr>
              <w:t>）</w:t>
            </w:r>
          </w:p>
        </w:tc>
      </w:tr>
    </w:tbl>
    <w:p w14:paraId="68DA8F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首token延迟（TTFT） 定义为请求到首token生成的时间差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</w:rPr>
        <w:t>实验结果显示</w:t>
      </w:r>
      <w:r>
        <w:rPr>
          <w:rFonts w:hint="eastAsia" w:cs="Times New Roman"/>
          <w:sz w:val="24"/>
          <w:szCs w:val="24"/>
          <w:lang w:eastAsia="zh-CN"/>
        </w:rPr>
        <w:t>（</w:t>
      </w:r>
      <w:r>
        <w:rPr>
          <w:rFonts w:hint="eastAsia" w:cs="Times New Roman"/>
          <w:sz w:val="24"/>
          <w:szCs w:val="24"/>
          <w:lang w:val="en-US" w:eastAsia="zh-CN"/>
        </w:rPr>
        <w:t>如图3-2</w:t>
      </w:r>
      <w:r>
        <w:rPr>
          <w:rFonts w:hint="eastAsia" w:cs="Times New Roman"/>
          <w:sz w:val="24"/>
          <w:szCs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bookmarkEnd w:id="9"/>
      <w:r>
        <w:rPr>
          <w:rFonts w:hint="eastAsia" w:ascii="Times New Roman" w:hAnsi="Times New Roman" w:eastAsia="宋体" w:cs="Times New Roman"/>
          <w:sz w:val="24"/>
          <w:szCs w:val="24"/>
        </w:rPr>
        <w:t>平均值为3.48秒，中位数1.01秒，最小值0.74秒，最大值21.88秒，分布右偏。不同模型间差异显著（最快平均1.03秒，最慢7.86秒），且TTFT与输入长度相关性极弱（相关系数0.038），表明主要由模型架构决定。</w:t>
      </w:r>
    </w:p>
    <w:p w14:paraId="0A470A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逐token生成延迟（TPOT） 定义为生成阶段总耗时与生成token数之比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hint="eastAsia" w:cs="Times New Roman"/>
          <w:sz w:val="24"/>
          <w:szCs w:val="24"/>
          <w:lang w:val="en-US" w:eastAsia="zh-CN"/>
        </w:rPr>
        <w:t>如图3-3</w:t>
      </w:r>
      <w:r>
        <w:rPr>
          <w:rFonts w:hint="eastAsia" w:ascii="Times New Roman" w:hAnsi="Times New Roman" w:eastAsia="宋体" w:cs="Times New Roman"/>
          <w:sz w:val="24"/>
          <w:szCs w:val="24"/>
        </w:rPr>
        <w:t>TPOT平均149 ms/token，中位数81.9 ms/token；最快模型46.8 ms/token（约21 tokens/s），最慢421.2 ms/token（约2–3 tokens/s）。TPOT在生成过程中保持稳定，无累积衰减现象，小规模模型优势明显。</w:t>
      </w:r>
    </w:p>
    <w:p w14:paraId="712AAB86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bookmarkStart w:id="10" w:name="bm_3_2_5_能耗与生成长度关系"/>
      <w:r>
        <w:rPr>
          <w:rFonts w:ascii="Times New Roman" w:hAnsi="Times New Roman" w:eastAsia="宋体" w:cs="Times New Roman"/>
        </w:rPr>
        <w:t>3.2.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ascii="Times New Roman" w:hAnsi="Times New Roman" w:eastAsia="宋体" w:cs="Times New Roman"/>
        </w:rPr>
        <w:t xml:space="preserve"> 能耗与生成长度关系</w:t>
      </w:r>
      <w:bookmarkEnd w:id="10"/>
    </w:p>
    <w:p w14:paraId="6AC33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在大语言模型推理过程中，能耗是影响系统部署成本和可扩展性的重要因素。因此，本研究进一步分析了生成 token 数量与系统能耗之间的关系。</w:t>
      </w:r>
    </w:p>
    <w:p w14:paraId="7EB0E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为了量化推理能效，本研究定义单位 token 能耗如下：</w:t>
      </w:r>
    </w:p>
    <w:p w14:paraId="115BEC51">
      <w:pPr>
        <w:spacing w:beforeAutospacing="0" w:afterAutospacing="0" w:line="240" w:lineRule="auto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Efficiency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tokens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Times New Roman" w:hAnsi="Times New Roman" w:eastAsia="宋体" w:cs="Times New Roman"/>
                      <w:sz w:val="24"/>
                      <w:szCs w:val="24"/>
                    </w:rPr>
                    <m:t>total</m:t>
                  </m:r>
                  <m:ctrlPr>
                    <w:rPr>
                      <w:rFonts w:ascii="Cambria Math" w:hAnsi="Cambria Math" w:eastAsia="宋体" w:cs="Times New Roman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den>
          </m:f>
        </m:oMath>
      </m:oMathPara>
    </w:p>
    <w:p w14:paraId="7944B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其中：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E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total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表示推理任务的总能耗，</w:t>
      </w:r>
      <m:oMath>
        <m:sSub>
          <m:sSubP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N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Times New Roman" w:hAnsi="Times New Roman" w:eastAsia="宋体" w:cs="Times New Roman"/>
                <w:sz w:val="24"/>
                <w:szCs w:val="24"/>
              </w:rPr>
              <m:t>tokens</m:t>
            </m:r>
            <m:ctrlPr>
              <w:rPr>
                <w:rFonts w:ascii="Cambria Math" w:hAnsi="Cambria Math" w:eastAsia="宋体" w:cs="Times New Roman"/>
                <w:sz w:val="24"/>
                <w:szCs w:val="24"/>
              </w:rPr>
            </m:ctrlPr>
          </m:sub>
        </m:sSub>
      </m:oMath>
      <w:r>
        <w:rPr>
          <w:rFonts w:ascii="Times New Roman" w:hAnsi="Times New Roman" w:eastAsia="宋体" w:cs="Times New Roman"/>
          <w:sz w:val="24"/>
          <w:szCs w:val="24"/>
        </w:rPr>
        <w:t>表示生成 token 数量。该指标用于衡量模型生成单个 token 所需的平均能量消耗。</w:t>
      </w:r>
    </w:p>
    <w:tbl>
      <w:tblPr>
        <w:tblStyle w:val="10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39892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0" w:hRule="atLeast"/>
          <w:jc w:val="center"/>
        </w:trPr>
        <w:tc>
          <w:tcPr>
            <w:tcW w:w="8522" w:type="dxa"/>
          </w:tcPr>
          <w:p w14:paraId="1A226893">
            <w:pPr>
              <w:spacing w:beforeAutospacing="0" w:afterAutospacing="0" w:line="240" w:lineRule="auto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3799205" cy="1867535"/>
                  <wp:effectExtent l="0" t="0" r="10795" b="12065"/>
                  <wp:docPr id="26" name="图片 26" descr="08_energy_vs_toke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08_energy_vs_tokens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9205" cy="186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ECA9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8522" w:type="dxa"/>
          </w:tcPr>
          <w:p w14:paraId="17850128">
            <w:pPr>
              <w:spacing w:beforeAutospacing="0" w:afterAutospacing="0" w:line="240" w:lineRule="auto"/>
              <w:jc w:val="center"/>
              <w:rPr>
                <w:rFonts w:ascii="Times New Roman" w:hAnsi="Times New Roman" w:eastAsia="宋体" w:cs="Times New Roman"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3-4</w:t>
            </w: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 xml:space="preserve"> 能耗与生成token数的关系图</w:t>
            </w:r>
          </w:p>
        </w:tc>
      </w:tr>
    </w:tbl>
    <w:p w14:paraId="4E9D6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实验结果表明，</w:t>
      </w:r>
      <w:r>
        <w:rPr>
          <w:rFonts w:hint="eastAsia" w:ascii="Times New Roman" w:hAnsi="Times New Roman" w:eastAsia="宋体" w:cs="Times New Roman"/>
          <w:sz w:val="24"/>
          <w:szCs w:val="24"/>
        </w:rPr>
        <w:t>生成token数与总能耗呈近似线性关系（相关系数0.50），表明能耗主要由逐token生成阶段贡献。平均每token能耗对应生成时间149 ms，生成100 token约需14.9秒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这一结果进一步表明逐 token 推理阶段是系统能耗的主要来源。</w:t>
      </w:r>
    </w:p>
    <w:tbl>
      <w:tblPr>
        <w:tblStyle w:val="10"/>
        <w:tblW w:w="93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0"/>
      </w:tblGrid>
      <w:tr w14:paraId="6AA0F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89" w:hRule="atLeast"/>
          <w:jc w:val="center"/>
        </w:trPr>
        <w:tc>
          <w:tcPr>
            <w:tcW w:w="9340" w:type="dxa"/>
          </w:tcPr>
          <w:p w14:paraId="139C6FF3">
            <w:pPr>
              <w:spacing w:beforeAutospacing="0" w:afterAutospacing="0" w:line="240" w:lineRule="auto"/>
              <w:jc w:val="right"/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4718050" cy="2350770"/>
                  <wp:effectExtent l="0" t="0" r="6350" b="11430"/>
                  <wp:docPr id="27" name="图片 27" descr="11_util_vs_po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11_util_vs_power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5EC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9340" w:type="dxa"/>
          </w:tcPr>
          <w:p w14:paraId="1950AB82">
            <w:pPr>
              <w:spacing w:beforeAutospacing="0" w:afterAutospacing="0" w:line="240" w:lineRule="auto"/>
              <w:jc w:val="center"/>
              <w:rPr>
                <w:rFonts w:ascii="Times New Roman" w:hAnsi="Times New Roman" w:eastAsia="宋体" w:cs="Times New Roman"/>
                <w:i w:val="0"/>
                <w:iCs/>
                <w:sz w:val="24"/>
                <w:szCs w:val="24"/>
                <w:vertAlign w:val="baseline"/>
              </w:rPr>
            </w:pP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>图</w:t>
            </w:r>
            <w:r>
              <w:rPr>
                <w:rFonts w:hint="eastAsia" w:ascii="Times New Roman" w:hAnsi="Times New Roman" w:eastAsia="宋体" w:cs="Times New Roman"/>
                <w:i w:val="0"/>
                <w:iCs/>
                <w:sz w:val="21"/>
                <w:szCs w:val="21"/>
                <w:lang w:val="en-US" w:eastAsia="zh-CN"/>
              </w:rPr>
              <w:t>3-5</w:t>
            </w:r>
            <w:r>
              <w:rPr>
                <w:rFonts w:ascii="Times New Roman" w:hAnsi="Times New Roman" w:eastAsia="宋体" w:cs="Times New Roman"/>
                <w:i w:val="0"/>
                <w:iCs/>
                <w:sz w:val="21"/>
                <w:szCs w:val="21"/>
              </w:rPr>
              <w:t xml:space="preserve"> GPU利用率与功耗的关联</w:t>
            </w:r>
          </w:p>
        </w:tc>
      </w:tr>
    </w:tbl>
    <w:p w14:paraId="144BB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sz w:val="24"/>
          <w:szCs w:val="24"/>
        </w:rPr>
        <w:t>PU利用率与功耗：两者相关系数0.637，利用率低于30%时平均功耗23.5 W，高于70%时平均功耗58.9 W（增加151%），体现计算密集型特征。推理平均功耗41.6 W（空闲20.5 W），峰值83.1 W。GPU温度从初始35.4°C升至峰值54°C（增幅18.6°C），与功耗高度相关（相关系数0.941），但未超过60°C，散热充足。</w:t>
      </w:r>
      <w:r>
        <w:rPr>
          <w:rFonts w:ascii="Times New Roman" w:hAnsi="Times New Roman" w:eastAsia="宋体" w:cs="Times New Roman"/>
          <w:sz w:val="24"/>
          <w:szCs w:val="24"/>
        </w:rPr>
        <w:t>这一结果表明，大语言模型推理属于典型的计算密集型工作负载。</w:t>
      </w:r>
    </w:p>
    <w:p w14:paraId="121F20FD">
      <w:pPr>
        <w:pStyle w:val="4"/>
        <w:bidi w:val="0"/>
        <w:spacing w:before="0" w:beforeAutospacing="0" w:after="0" w:afterAutospacing="0" w:line="240" w:lineRule="auto"/>
        <w:rPr>
          <w:rFonts w:ascii="Times New Roman" w:hAnsi="Times New Roman" w:eastAsia="宋体" w:cs="Times New Roman"/>
        </w:rPr>
      </w:pPr>
      <w:bookmarkStart w:id="11" w:name="bm_3_2_7_gpu_能耗与资源利用"/>
      <w:r>
        <w:rPr>
          <w:rFonts w:ascii="Times New Roman" w:hAnsi="Times New Roman" w:eastAsia="宋体" w:cs="Times New Roman"/>
        </w:rPr>
        <w:t>3.2.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ascii="Times New Roman" w:hAnsi="Times New Roman" w:eastAsia="宋体" w:cs="Times New Roman"/>
        </w:rPr>
        <w:t xml:space="preserve"> </w:t>
      </w:r>
      <w:bookmarkEnd w:id="11"/>
      <w:r>
        <w:rPr>
          <w:rFonts w:hint="eastAsia" w:ascii="Times New Roman" w:hAnsi="Times New Roman" w:eastAsia="宋体" w:cs="Times New Roman"/>
        </w:rPr>
        <w:t>任务与模型的能耗差异</w:t>
      </w:r>
    </w:p>
    <w:p w14:paraId="42B5D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我们首先分析任务类型对 GPU 能耗的影响。Kruskal--Wallis 检验结果为</w:t>
      </w:r>
    </w:p>
    <w:p w14:paraId="43B61547">
      <w:pPr>
        <w:spacing w:beforeAutospacing="0" w:afterAutospacing="0" w:line="240" w:lineRule="auto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H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 xml:space="preserve">=39.05, 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=2.0×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−6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</m:oMath>
      </m:oMathPara>
    </w:p>
    <w:p w14:paraId="3F0CE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说明不同任务之间的能耗分布存在显著差异。</w:t>
      </w:r>
    </w:p>
    <w:p w14:paraId="75564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表3-1 </w:t>
      </w:r>
      <w:r>
        <w:rPr>
          <w:rFonts w:ascii="Times New Roman" w:hAnsi="Times New Roman" w:eastAsia="宋体" w:cs="Times New Roman"/>
          <w:sz w:val="21"/>
          <w:szCs w:val="21"/>
        </w:rPr>
        <w:t>各任务的能耗统计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表</w:t>
      </w:r>
    </w:p>
    <w:tbl>
      <w:tblPr>
        <w:tblW w:w="409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0"/>
        <w:gridCol w:w="1045"/>
        <w:gridCol w:w="931"/>
        <w:gridCol w:w="931"/>
      </w:tblGrid>
      <w:tr w14:paraId="3FEA9C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18DD9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1045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4ABA2A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Mean (J)</w:t>
            </w:r>
          </w:p>
        </w:tc>
        <w:tc>
          <w:tcPr>
            <w:tcW w:w="9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658D5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Std</w:t>
            </w:r>
          </w:p>
        </w:tc>
        <w:tc>
          <w:tcPr>
            <w:tcW w:w="931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4D341A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Median</w:t>
            </w:r>
          </w:p>
        </w:tc>
      </w:tr>
      <w:tr w14:paraId="51FD9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DA50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summary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AF0B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339.04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198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219.43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A098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383.6</w:t>
            </w:r>
          </w:p>
        </w:tc>
      </w:tr>
      <w:tr w14:paraId="47FCE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0C5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qa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EEE3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387.44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C0E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168.75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8AFC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363.11</w:t>
            </w:r>
          </w:p>
        </w:tc>
      </w:tr>
      <w:tr w14:paraId="039480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2EFD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translation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9090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471.99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D15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203.84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9472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468.53</w:t>
            </w:r>
          </w:p>
        </w:tc>
      </w:tr>
      <w:tr w14:paraId="11DFC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70E6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math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23B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544.23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66D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383.15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DFE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428.19</w:t>
            </w:r>
          </w:p>
        </w:tc>
      </w:tr>
      <w:tr w14:paraId="0F414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F6FE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reasoning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8989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640.66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300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376.09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B514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731.33</w:t>
            </w:r>
          </w:p>
        </w:tc>
      </w:tr>
      <w:tr w14:paraId="17D50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9A71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creative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5BA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1038.47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3DC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1204.86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2ECE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828.35</w:t>
            </w:r>
          </w:p>
        </w:tc>
      </w:tr>
      <w:tr w14:paraId="0B7ED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8685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multi_turn</w:t>
            </w:r>
          </w:p>
        </w:tc>
        <w:tc>
          <w:tcPr>
            <w:tcW w:w="104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82A5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1613.21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B3E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704.31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54DC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1564.6</w:t>
            </w:r>
          </w:p>
        </w:tc>
      </w:tr>
      <w:tr w14:paraId="2B169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119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7FD3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104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31A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1790.55</w:t>
            </w:r>
          </w:p>
        </w:tc>
        <w:tc>
          <w:tcPr>
            <w:tcW w:w="9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AFD3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2045.42</w:t>
            </w:r>
          </w:p>
        </w:tc>
        <w:tc>
          <w:tcPr>
            <w:tcW w:w="93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094A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1214.09</w:t>
            </w:r>
          </w:p>
        </w:tc>
      </w:tr>
    </w:tbl>
    <w:p w14:paraId="376BB1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从统计结果可以观察到，任务之间的能耗差异呈现明显的层级结构。摘要与问答任务的平均能耗分别为 339 J 与 387 J，属于计算负载最低的一类任务；相比之下，多轮对话与代码生成任务的平均能耗分别达到 1613 J 与 1790 J。两类任务之间的能耗差距超过 5 倍。</w:t>
      </w:r>
    </w:p>
    <w:p w14:paraId="02741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这一差异主要源于推理阶段计算量的差异。生成式任务通常需要产生更长的输出序列，同时需要处理更复杂的上下文依赖关系，从而增加 attention 计算规模。代码生成与多轮对话任务通常涉及更长的上下文窗口和更高的 token 生成数量，因此表现出更高的 GPU 能耗。</w:t>
      </w:r>
    </w:p>
    <w:p w14:paraId="4E9CF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在模型维度上，我们同样观察到显著的能耗差异。Kruskal--Wallis 检验结果为</w:t>
      </w:r>
    </w:p>
    <w:p w14:paraId="6332E981">
      <w:pPr>
        <w:spacing w:beforeAutospacing="0" w:afterAutospacing="0" w:line="240" w:lineRule="auto"/>
        <w:rPr>
          <w:rFonts w:ascii="Times New Roman" w:hAnsi="Times New Roman" w:eastAsia="宋体" w:cs="Times New Roman"/>
          <w:sz w:val="24"/>
          <w:szCs w:val="24"/>
        </w:rPr>
      </w:pPr>
      <m:oMathPara>
        <m:oMath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H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 xml:space="preserve">=42.99, </m:t>
          </m:r>
          <m:r>
            <m:rPr/>
            <w:rPr>
              <w:rFonts w:ascii="Times New Roman" w:hAnsi="Times New Roman" w:eastAsia="宋体" w:cs="Times New Roman"/>
              <w:sz w:val="24"/>
              <w:szCs w:val="24"/>
            </w:rPr>
            <m:t>p</m:t>
          </m:r>
          <m:r>
            <m:rPr>
              <m:sty m:val="p"/>
            </m:rPr>
            <w:rPr>
              <w:rFonts w:ascii="Times New Roman" w:hAnsi="Times New Roman" w:eastAsia="宋体" w:cs="Times New Roman"/>
              <w:sz w:val="24"/>
              <w:szCs w:val="24"/>
            </w:rPr>
            <m:t>=1.1×</m:t>
          </m:r>
          <m:sSup>
            <m:sSupP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10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e>
            <m:sup>
              <m:r>
                <m:rPr>
                  <m:sty m:val="p"/>
                </m:rPr>
                <w:rPr>
                  <w:rFonts w:ascii="Times New Roman" w:hAnsi="Times New Roman" w:eastAsia="宋体" w:cs="Times New Roman"/>
                  <w:sz w:val="24"/>
                  <w:szCs w:val="24"/>
                </w:rPr>
                <m:t>−5</m:t>
              </m:r>
              <m:ctrlPr>
                <w:rPr>
                  <w:rFonts w:ascii="Cambria Math" w:hAnsi="Cambria Math" w:eastAsia="宋体" w:cs="Times New Roman"/>
                  <w:sz w:val="24"/>
                  <w:szCs w:val="24"/>
                </w:rPr>
              </m:ctrlPr>
            </m:sup>
          </m:sSup>
        </m:oMath>
      </m:oMathPara>
    </w:p>
    <w:p w14:paraId="30F83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表明不同模型之间的 GPU 能耗分布存在显著差异。</w:t>
      </w:r>
    </w:p>
    <w:p w14:paraId="695309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表3-2中，</w:t>
      </w:r>
      <w:r>
        <w:rPr>
          <w:rFonts w:ascii="Times New Roman" w:hAnsi="Times New Roman" w:eastAsia="宋体" w:cs="Times New Roman"/>
          <w:sz w:val="24"/>
          <w:szCs w:val="24"/>
        </w:rPr>
        <w:t>模型之间的能耗差异非常明显。参数规模较小的 gemma-2b-it (4bit) 平均能耗仅为 225 J，而 qwen2.5-7B (8bit) 的平均能耗达到 6271 J，两者差距接近 28 倍</w:t>
      </w:r>
      <w:r>
        <w:rPr>
          <w:rFonts w:hint="eastAsia" w:cs="Times New Roman"/>
          <w:sz w:val="24"/>
          <w:szCs w:val="24"/>
          <w:lang w:val="en-US" w:eastAsia="zh-CN"/>
        </w:rPr>
        <w:t>说明</w:t>
      </w:r>
      <w:r>
        <w:rPr>
          <w:rFonts w:ascii="Times New Roman" w:hAnsi="Times New Roman" w:eastAsia="宋体" w:cs="Times New Roman"/>
          <w:sz w:val="24"/>
          <w:szCs w:val="24"/>
        </w:rPr>
        <w:t>模型规模是影响推理能耗的重要因素</w:t>
      </w:r>
      <w:r>
        <w:rPr>
          <w:rFonts w:hint="eastAsia" w:cs="Times New Roman"/>
          <w:sz w:val="24"/>
          <w:szCs w:val="24"/>
          <w:lang w:eastAsia="zh-CN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此外量化策略也会对能耗产生明显影响。</w:t>
      </w:r>
    </w:p>
    <w:p w14:paraId="4FC6E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表</w:t>
      </w:r>
      <w:r>
        <w:rPr>
          <w:rFonts w:hint="eastAsia" w:cs="Times New Roman"/>
          <w:sz w:val="21"/>
          <w:szCs w:val="21"/>
          <w:lang w:val="en-US" w:eastAsia="zh-CN"/>
        </w:rPr>
        <w:t>3-2</w:t>
      </w:r>
      <w:r>
        <w:rPr>
          <w:rFonts w:ascii="Times New Roman" w:hAnsi="Times New Roman" w:eastAsia="宋体" w:cs="Times New Roman"/>
          <w:sz w:val="21"/>
          <w:szCs w:val="21"/>
        </w:rPr>
        <w:t xml:space="preserve"> 各模型的平均能耗统计</w:t>
      </w:r>
    </w:p>
    <w:tbl>
      <w:tblPr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70"/>
        <w:gridCol w:w="2070"/>
        <w:gridCol w:w="2070"/>
      </w:tblGrid>
      <w:tr w14:paraId="61CA6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" w:hRule="atLeast"/>
          <w:jc w:val="center"/>
        </w:trPr>
        <w:tc>
          <w:tcPr>
            <w:tcW w:w="2070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1E87AB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207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0E6B2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Mean Energy (J)</w:t>
            </w:r>
          </w:p>
        </w:tc>
        <w:tc>
          <w:tcPr>
            <w:tcW w:w="2070" w:type="dxa"/>
            <w:tcBorders>
              <w:top w:val="single" w:color="000000" w:sz="12" w:space="0"/>
              <w:left w:val="single" w:color="000000" w:sz="12" w:space="0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7BB202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Model</w:t>
            </w:r>
          </w:p>
        </w:tc>
        <w:tc>
          <w:tcPr>
            <w:tcW w:w="2070" w:type="dxa"/>
            <w:tcBorders>
              <w:top w:val="single" w:color="000000" w:sz="12" w:space="0"/>
              <w:left w:val="nil"/>
              <w:bottom w:val="single" w:color="000000" w:sz="8" w:space="0"/>
              <w:right w:val="single" w:color="000000" w:sz="12" w:space="0"/>
            </w:tcBorders>
            <w:shd w:val="clear" w:color="auto" w:fill="FFFFFF"/>
            <w:vAlign w:val="center"/>
          </w:tcPr>
          <w:p w14:paraId="737D33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Mean Energy (J)</w:t>
            </w:r>
          </w:p>
        </w:tc>
      </w:tr>
      <w:tr w14:paraId="092D0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66331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gemma-2b-it 4bit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FF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225.27</w:t>
            </w:r>
          </w:p>
        </w:tc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2E0F9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phi-3 mini 8bit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FFFFFF"/>
            <w:vAlign w:val="center"/>
          </w:tcPr>
          <w:p w14:paraId="3E98B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808.87</w:t>
            </w:r>
          </w:p>
        </w:tc>
      </w:tr>
      <w:tr w14:paraId="5ADEC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5106D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gemma-2b-it 8bit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36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356.15</w:t>
            </w:r>
          </w:p>
        </w:tc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43B7E5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deepseek-r1 8B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FFFFFF"/>
            <w:vAlign w:val="center"/>
          </w:tcPr>
          <w:p w14:paraId="37908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868.22</w:t>
            </w:r>
          </w:p>
        </w:tc>
      </w:tr>
      <w:tr w14:paraId="51DD3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16DF62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gemma3 4B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AE4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358.85</w:t>
            </w:r>
          </w:p>
        </w:tc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1A1196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qwen3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-8b-q4km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FFFFFF"/>
            <w:vAlign w:val="center"/>
          </w:tcPr>
          <w:p w14:paraId="7DAE4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906.47</w:t>
            </w:r>
          </w:p>
        </w:tc>
      </w:tr>
      <w:tr w14:paraId="588C2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35471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qwen3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-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  <w:r>
              <w:rPr>
                <w:rFonts w:hint="eastAsia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b-q4km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8E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524.32</w:t>
            </w:r>
          </w:p>
        </w:tc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03FAA4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qwen2.5-3B 8bit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FFFFFF"/>
            <w:vAlign w:val="center"/>
          </w:tcPr>
          <w:p w14:paraId="02A6A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1187.36</w:t>
            </w:r>
          </w:p>
        </w:tc>
      </w:tr>
      <w:tr w14:paraId="53246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  <w:jc w:val="center"/>
        </w:trPr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43E22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phi-3 mini 4bit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858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641.02</w:t>
            </w:r>
          </w:p>
        </w:tc>
        <w:tc>
          <w:tcPr>
            <w:tcW w:w="2070" w:type="dxa"/>
            <w:tcBorders>
              <w:top w:val="nil"/>
              <w:left w:val="single" w:color="000000" w:sz="12" w:space="0"/>
              <w:bottom w:val="nil"/>
              <w:right w:val="nil"/>
            </w:tcBorders>
            <w:shd w:val="clear" w:color="auto" w:fill="FFFFFF"/>
            <w:vAlign w:val="center"/>
          </w:tcPr>
          <w:p w14:paraId="556485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qwen2.5-7B 4bit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single" w:color="000000" w:sz="12" w:space="0"/>
            </w:tcBorders>
            <w:shd w:val="clear" w:color="auto" w:fill="FFFFFF"/>
            <w:vAlign w:val="center"/>
          </w:tcPr>
          <w:p w14:paraId="6E58E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1523.98</w:t>
            </w:r>
          </w:p>
        </w:tc>
      </w:tr>
      <w:tr w14:paraId="100B5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2070" w:type="dxa"/>
            <w:tcBorders>
              <w:top w:val="nil"/>
              <w:left w:val="single" w:color="000000" w:sz="12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A9515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qwen2.5-3B 4bit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AB0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770.54</w:t>
            </w:r>
          </w:p>
        </w:tc>
        <w:tc>
          <w:tcPr>
            <w:tcW w:w="2070" w:type="dxa"/>
            <w:tcBorders>
              <w:top w:val="nil"/>
              <w:left w:val="single" w:color="000000" w:sz="12" w:space="0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F34D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qwen2.5-7B 8bit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BD6FC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6271.1</w:t>
            </w:r>
          </w:p>
        </w:tc>
      </w:tr>
    </w:tbl>
    <w:p w14:paraId="06248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为了进一步分析模型选择在不同任务场景中的影响，我们对每一种任务分别进行了 Kruskal--Wallis 检验。结果如表</w:t>
      </w:r>
      <w:r>
        <w:rPr>
          <w:rFonts w:hint="eastAsia" w:cs="Times New Roman"/>
          <w:sz w:val="24"/>
          <w:szCs w:val="24"/>
          <w:lang w:val="en-US" w:eastAsia="zh-CN"/>
        </w:rPr>
        <w:t>3-3</w:t>
      </w:r>
      <w:r>
        <w:rPr>
          <w:rFonts w:ascii="Times New Roman" w:hAnsi="Times New Roman" w:eastAsia="宋体" w:cs="Times New Roman"/>
          <w:sz w:val="24"/>
          <w:szCs w:val="24"/>
        </w:rPr>
        <w:t>所示。</w:t>
      </w:r>
    </w:p>
    <w:p w14:paraId="36D9FF98">
      <w:pPr>
        <w:spacing w:beforeAutospacing="0" w:afterAutospacing="0" w:line="240" w:lineRule="auto"/>
        <w:jc w:val="center"/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eastAsia" w:cs="Times New Roman"/>
          <w:sz w:val="21"/>
          <w:szCs w:val="21"/>
          <w:lang w:val="en-US" w:eastAsia="zh-CN"/>
        </w:rPr>
        <w:t>表3-3 各任务</w:t>
      </w:r>
      <w:r>
        <w:rPr>
          <w:rFonts w:ascii="Times New Roman" w:hAnsi="Times New Roman" w:eastAsia="宋体" w:cs="Times New Roman"/>
          <w:sz w:val="21"/>
          <w:szCs w:val="21"/>
        </w:rPr>
        <w:t>Kruskal--Wallis 检验</w:t>
      </w:r>
      <w:r>
        <w:rPr>
          <w:rFonts w:hint="eastAsia" w:cs="Times New Roman"/>
          <w:sz w:val="21"/>
          <w:szCs w:val="21"/>
          <w:lang w:val="en-US" w:eastAsia="zh-CN"/>
        </w:rPr>
        <w:t>结果</w:t>
      </w:r>
    </w:p>
    <w:tbl>
      <w:tblPr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866"/>
        <w:gridCol w:w="924"/>
        <w:gridCol w:w="866"/>
        <w:gridCol w:w="1145"/>
        <w:gridCol w:w="866"/>
        <w:gridCol w:w="1072"/>
        <w:gridCol w:w="1035"/>
        <w:gridCol w:w="1145"/>
      </w:tblGrid>
      <w:tr w14:paraId="25D7A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  <w:jc w:val="center"/>
        </w:trPr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46CB35A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Task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690EB9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code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253CEB8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creative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009721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math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749F524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multi_turn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6E6DAFE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qa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28A69B3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reasoning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064E3E3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summary</w:t>
            </w:r>
          </w:p>
        </w:tc>
        <w:tc>
          <w:tcPr>
            <w:tcW w:w="960" w:type="dxa"/>
            <w:tcBorders>
              <w:top w:val="single" w:color="000000" w:sz="12" w:space="0"/>
              <w:left w:val="nil"/>
              <w:bottom w:val="single" w:color="000000" w:sz="8" w:space="0"/>
              <w:right w:val="nil"/>
            </w:tcBorders>
            <w:shd w:val="clear" w:color="auto" w:fill="FFFFFF"/>
            <w:vAlign w:val="center"/>
          </w:tcPr>
          <w:p w14:paraId="04A3B1D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translation</w:t>
            </w:r>
          </w:p>
        </w:tc>
      </w:tr>
      <w:tr w14:paraId="5F2C0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1A58BC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55741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34.97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62C07E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45.38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E2CB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46.87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86273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38.57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03DF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40.2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75C9D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A5915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47.03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89AF8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47.91</w:t>
            </w:r>
          </w:p>
        </w:tc>
      </w:tr>
      <w:tr w14:paraId="27AA2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66F8B4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E38951B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AF6745F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5E4A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2D0653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5BFA684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599E92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434EDD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  <w:tc>
          <w:tcPr>
            <w:tcW w:w="96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B9FFDC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&lt;0.001</w:t>
            </w:r>
          </w:p>
        </w:tc>
      </w:tr>
    </w:tbl>
    <w:p w14:paraId="1EFA8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80" w:firstLineChars="2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所有任务均表现出显著差异，这说明在相同任务条件下，不同模型之间的 GPU 能耗仍然存在明显差别。换言之，模型选择不仅影响整体能耗水平，还会改变不同任务的能耗表现。</w:t>
      </w:r>
    </w:p>
    <w:p w14:paraId="35AA909D">
      <w:pPr>
        <w:shd w:val="clear"/>
        <w:rPr>
          <w:rFonts w:ascii="Times New Roman" w:hAnsi="Times New Roman" w:eastAsia="宋体" w:cs="Times New Roman"/>
        </w:rPr>
      </w:pPr>
      <w:bookmarkStart w:id="12" w:name="_GoBack"/>
      <w:bookmarkEnd w:id="12"/>
    </w:p>
    <w:sectPr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lvlText w:val=""/>
      <w:lvlJc w:val="left"/>
      <w:pPr>
        <w:tabs>
          <w:tab w:val="left" w:pos="1080"/>
        </w:tabs>
        <w:ind w:left="72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B73C0"/>
    <w:rsid w:val="002D508F"/>
    <w:rsid w:val="00785BD8"/>
    <w:rsid w:val="00F26220"/>
    <w:rsid w:val="012515C4"/>
    <w:rsid w:val="02BF3986"/>
    <w:rsid w:val="02E77B5B"/>
    <w:rsid w:val="02F41532"/>
    <w:rsid w:val="031F6DBB"/>
    <w:rsid w:val="03BB6210"/>
    <w:rsid w:val="04387465"/>
    <w:rsid w:val="046B5540"/>
    <w:rsid w:val="04881B00"/>
    <w:rsid w:val="04DC4690"/>
    <w:rsid w:val="0579758B"/>
    <w:rsid w:val="065F7A31"/>
    <w:rsid w:val="07504B53"/>
    <w:rsid w:val="07A07BF6"/>
    <w:rsid w:val="07A15BEC"/>
    <w:rsid w:val="07C84A57"/>
    <w:rsid w:val="08493DEA"/>
    <w:rsid w:val="08794BC9"/>
    <w:rsid w:val="087B7D1C"/>
    <w:rsid w:val="08C56734"/>
    <w:rsid w:val="08E409A9"/>
    <w:rsid w:val="0980684D"/>
    <w:rsid w:val="098705F9"/>
    <w:rsid w:val="09E93CA4"/>
    <w:rsid w:val="09FF1932"/>
    <w:rsid w:val="0A2F1ECC"/>
    <w:rsid w:val="0A3E0A39"/>
    <w:rsid w:val="0A510686"/>
    <w:rsid w:val="0A6266FA"/>
    <w:rsid w:val="0A830604"/>
    <w:rsid w:val="0A8740E8"/>
    <w:rsid w:val="0AFB6211"/>
    <w:rsid w:val="0B321711"/>
    <w:rsid w:val="0B54456B"/>
    <w:rsid w:val="0BDF4286"/>
    <w:rsid w:val="0CC003F3"/>
    <w:rsid w:val="0D41544C"/>
    <w:rsid w:val="0D621DD9"/>
    <w:rsid w:val="0D96650E"/>
    <w:rsid w:val="0DAA3634"/>
    <w:rsid w:val="0DCD3AB1"/>
    <w:rsid w:val="0DDD10F7"/>
    <w:rsid w:val="0E17302F"/>
    <w:rsid w:val="0E5E57C3"/>
    <w:rsid w:val="0EE235F9"/>
    <w:rsid w:val="0F0C223F"/>
    <w:rsid w:val="0F851480"/>
    <w:rsid w:val="0F901476"/>
    <w:rsid w:val="10E243C3"/>
    <w:rsid w:val="11665A0D"/>
    <w:rsid w:val="12283471"/>
    <w:rsid w:val="12972C4E"/>
    <w:rsid w:val="12A7643B"/>
    <w:rsid w:val="12B24C82"/>
    <w:rsid w:val="12CB3CF7"/>
    <w:rsid w:val="12FF0EBB"/>
    <w:rsid w:val="13052BC6"/>
    <w:rsid w:val="131E0A27"/>
    <w:rsid w:val="138F0F48"/>
    <w:rsid w:val="13A85D99"/>
    <w:rsid w:val="148965C7"/>
    <w:rsid w:val="15154D22"/>
    <w:rsid w:val="15204C96"/>
    <w:rsid w:val="15400323"/>
    <w:rsid w:val="158B6FA2"/>
    <w:rsid w:val="16190030"/>
    <w:rsid w:val="162D616C"/>
    <w:rsid w:val="167F30CD"/>
    <w:rsid w:val="1683496B"/>
    <w:rsid w:val="17D80701"/>
    <w:rsid w:val="17E51656"/>
    <w:rsid w:val="19ED659F"/>
    <w:rsid w:val="1AC9700C"/>
    <w:rsid w:val="1AF1457E"/>
    <w:rsid w:val="1AF26BB7"/>
    <w:rsid w:val="1AF5395E"/>
    <w:rsid w:val="1B7262F1"/>
    <w:rsid w:val="1B9368CB"/>
    <w:rsid w:val="1BCD05D7"/>
    <w:rsid w:val="1C2A28E5"/>
    <w:rsid w:val="1C943EEF"/>
    <w:rsid w:val="1CBA78D0"/>
    <w:rsid w:val="1CBD0799"/>
    <w:rsid w:val="1CF3778C"/>
    <w:rsid w:val="1D931894"/>
    <w:rsid w:val="1DCC746F"/>
    <w:rsid w:val="1E6C6158"/>
    <w:rsid w:val="1EE2660B"/>
    <w:rsid w:val="1F402238"/>
    <w:rsid w:val="1F6E6A1B"/>
    <w:rsid w:val="1F866F07"/>
    <w:rsid w:val="1FA70EB0"/>
    <w:rsid w:val="1FC23AE2"/>
    <w:rsid w:val="1FD9754F"/>
    <w:rsid w:val="1FFC12EA"/>
    <w:rsid w:val="20062021"/>
    <w:rsid w:val="20863CB7"/>
    <w:rsid w:val="21ED553C"/>
    <w:rsid w:val="22387500"/>
    <w:rsid w:val="223C34B6"/>
    <w:rsid w:val="2304785B"/>
    <w:rsid w:val="23390CF8"/>
    <w:rsid w:val="23A07489"/>
    <w:rsid w:val="240A6030"/>
    <w:rsid w:val="24450CA1"/>
    <w:rsid w:val="24EE7CAF"/>
    <w:rsid w:val="2580570A"/>
    <w:rsid w:val="25CD1194"/>
    <w:rsid w:val="25F27417"/>
    <w:rsid w:val="26C22583"/>
    <w:rsid w:val="26F1291B"/>
    <w:rsid w:val="274F15CD"/>
    <w:rsid w:val="27595274"/>
    <w:rsid w:val="27923180"/>
    <w:rsid w:val="28973DF2"/>
    <w:rsid w:val="28DC0DDF"/>
    <w:rsid w:val="292559B5"/>
    <w:rsid w:val="298B549C"/>
    <w:rsid w:val="2A0B250F"/>
    <w:rsid w:val="2A66785E"/>
    <w:rsid w:val="2AA70850"/>
    <w:rsid w:val="2AE35581"/>
    <w:rsid w:val="2B0F5F95"/>
    <w:rsid w:val="2B3D4D7E"/>
    <w:rsid w:val="2B4D3D5B"/>
    <w:rsid w:val="2B515C4F"/>
    <w:rsid w:val="2B6F5066"/>
    <w:rsid w:val="2B762959"/>
    <w:rsid w:val="2C0A7DE1"/>
    <w:rsid w:val="2CB97AED"/>
    <w:rsid w:val="2CE86227"/>
    <w:rsid w:val="2CF134CA"/>
    <w:rsid w:val="2D2C202A"/>
    <w:rsid w:val="2D80549A"/>
    <w:rsid w:val="2D880661"/>
    <w:rsid w:val="2DD87F45"/>
    <w:rsid w:val="2E093082"/>
    <w:rsid w:val="2EA72D69"/>
    <w:rsid w:val="2EB060C2"/>
    <w:rsid w:val="2F106AB6"/>
    <w:rsid w:val="2F7B2B74"/>
    <w:rsid w:val="2FC36147"/>
    <w:rsid w:val="2FDC1B9A"/>
    <w:rsid w:val="30607673"/>
    <w:rsid w:val="30C00966"/>
    <w:rsid w:val="30C13C90"/>
    <w:rsid w:val="30D95414"/>
    <w:rsid w:val="314D62F2"/>
    <w:rsid w:val="31E05969"/>
    <w:rsid w:val="336C5A6D"/>
    <w:rsid w:val="33E5680D"/>
    <w:rsid w:val="33F06646"/>
    <w:rsid w:val="341A0848"/>
    <w:rsid w:val="35035CE9"/>
    <w:rsid w:val="35036FE8"/>
    <w:rsid w:val="35143D96"/>
    <w:rsid w:val="3686211E"/>
    <w:rsid w:val="36F558B9"/>
    <w:rsid w:val="37C464D4"/>
    <w:rsid w:val="37DD373C"/>
    <w:rsid w:val="38194E02"/>
    <w:rsid w:val="39450306"/>
    <w:rsid w:val="395010EE"/>
    <w:rsid w:val="3A076FF0"/>
    <w:rsid w:val="3AC27952"/>
    <w:rsid w:val="3AE05E24"/>
    <w:rsid w:val="3B807CEE"/>
    <w:rsid w:val="3B9620CF"/>
    <w:rsid w:val="3C425AB9"/>
    <w:rsid w:val="3C973023"/>
    <w:rsid w:val="3D8C3E48"/>
    <w:rsid w:val="3E600908"/>
    <w:rsid w:val="3E910041"/>
    <w:rsid w:val="3EB94B1E"/>
    <w:rsid w:val="3EF47905"/>
    <w:rsid w:val="3F32185C"/>
    <w:rsid w:val="3F5211D7"/>
    <w:rsid w:val="3F702A1E"/>
    <w:rsid w:val="3FDE6257"/>
    <w:rsid w:val="40082068"/>
    <w:rsid w:val="404F780F"/>
    <w:rsid w:val="40CD2C3F"/>
    <w:rsid w:val="41A3382D"/>
    <w:rsid w:val="41D84268"/>
    <w:rsid w:val="42105272"/>
    <w:rsid w:val="42E20147"/>
    <w:rsid w:val="43111D4D"/>
    <w:rsid w:val="43C97C5C"/>
    <w:rsid w:val="448D2AFB"/>
    <w:rsid w:val="45D0687F"/>
    <w:rsid w:val="45F50C66"/>
    <w:rsid w:val="45FD4E54"/>
    <w:rsid w:val="46B83C86"/>
    <w:rsid w:val="46E50C5D"/>
    <w:rsid w:val="46FA3B28"/>
    <w:rsid w:val="476E0DE5"/>
    <w:rsid w:val="4860425D"/>
    <w:rsid w:val="48A80196"/>
    <w:rsid w:val="49A117B0"/>
    <w:rsid w:val="4AC50C38"/>
    <w:rsid w:val="4B1109B8"/>
    <w:rsid w:val="4BB30ECF"/>
    <w:rsid w:val="4C955487"/>
    <w:rsid w:val="4CD63E9B"/>
    <w:rsid w:val="4D26727B"/>
    <w:rsid w:val="4DD459B7"/>
    <w:rsid w:val="4DFE3D22"/>
    <w:rsid w:val="4F2C4E99"/>
    <w:rsid w:val="4F5A0E97"/>
    <w:rsid w:val="4FB15E93"/>
    <w:rsid w:val="4FD14760"/>
    <w:rsid w:val="4FD34429"/>
    <w:rsid w:val="50316363"/>
    <w:rsid w:val="504023D9"/>
    <w:rsid w:val="50493828"/>
    <w:rsid w:val="505226DD"/>
    <w:rsid w:val="5088321F"/>
    <w:rsid w:val="50E7594A"/>
    <w:rsid w:val="50F7018A"/>
    <w:rsid w:val="51E27703"/>
    <w:rsid w:val="52424902"/>
    <w:rsid w:val="526B5AC6"/>
    <w:rsid w:val="534112A6"/>
    <w:rsid w:val="538545A2"/>
    <w:rsid w:val="53F41D4A"/>
    <w:rsid w:val="53F72CCF"/>
    <w:rsid w:val="53F80116"/>
    <w:rsid w:val="548B23F5"/>
    <w:rsid w:val="54CC5154"/>
    <w:rsid w:val="54F14BBA"/>
    <w:rsid w:val="554705F6"/>
    <w:rsid w:val="567B29ED"/>
    <w:rsid w:val="56D241F0"/>
    <w:rsid w:val="56F37C7C"/>
    <w:rsid w:val="576B68A8"/>
    <w:rsid w:val="57834874"/>
    <w:rsid w:val="57E027DF"/>
    <w:rsid w:val="58592436"/>
    <w:rsid w:val="58733B0D"/>
    <w:rsid w:val="591B58C0"/>
    <w:rsid w:val="5A3D6C9C"/>
    <w:rsid w:val="5A7F3CF8"/>
    <w:rsid w:val="5AEC372E"/>
    <w:rsid w:val="5BFA52A4"/>
    <w:rsid w:val="5C5A0930"/>
    <w:rsid w:val="5C7B0963"/>
    <w:rsid w:val="5D051A14"/>
    <w:rsid w:val="5D3F47CB"/>
    <w:rsid w:val="5D433711"/>
    <w:rsid w:val="5E21105E"/>
    <w:rsid w:val="5E9C1828"/>
    <w:rsid w:val="5ED574D6"/>
    <w:rsid w:val="5F2D45B4"/>
    <w:rsid w:val="5F337104"/>
    <w:rsid w:val="5F942D12"/>
    <w:rsid w:val="60021D65"/>
    <w:rsid w:val="601B2AEB"/>
    <w:rsid w:val="602C0169"/>
    <w:rsid w:val="604E7E90"/>
    <w:rsid w:val="606131E6"/>
    <w:rsid w:val="6089042B"/>
    <w:rsid w:val="608B4F5E"/>
    <w:rsid w:val="609E0F14"/>
    <w:rsid w:val="61C45941"/>
    <w:rsid w:val="621A4BF4"/>
    <w:rsid w:val="627F2A5F"/>
    <w:rsid w:val="628F18F9"/>
    <w:rsid w:val="62A944DD"/>
    <w:rsid w:val="62DB2AED"/>
    <w:rsid w:val="62DD22DA"/>
    <w:rsid w:val="63577E08"/>
    <w:rsid w:val="63D619DB"/>
    <w:rsid w:val="63DB6B9C"/>
    <w:rsid w:val="63E751C0"/>
    <w:rsid w:val="63F374BD"/>
    <w:rsid w:val="651A35D6"/>
    <w:rsid w:val="65310993"/>
    <w:rsid w:val="66280004"/>
    <w:rsid w:val="66BF27F4"/>
    <w:rsid w:val="66C94B94"/>
    <w:rsid w:val="66FA1019"/>
    <w:rsid w:val="67302D72"/>
    <w:rsid w:val="673E141B"/>
    <w:rsid w:val="677C41DE"/>
    <w:rsid w:val="67892672"/>
    <w:rsid w:val="6805760C"/>
    <w:rsid w:val="68B40255"/>
    <w:rsid w:val="693A33BA"/>
    <w:rsid w:val="69817681"/>
    <w:rsid w:val="69FD047A"/>
    <w:rsid w:val="6A53227F"/>
    <w:rsid w:val="6A63251A"/>
    <w:rsid w:val="6AB33088"/>
    <w:rsid w:val="6ACB0C44"/>
    <w:rsid w:val="6AF942D9"/>
    <w:rsid w:val="6B0B3FD4"/>
    <w:rsid w:val="6B6E700A"/>
    <w:rsid w:val="6BD02BD9"/>
    <w:rsid w:val="6BE72DB3"/>
    <w:rsid w:val="6CA709F7"/>
    <w:rsid w:val="6D332463"/>
    <w:rsid w:val="6D622389"/>
    <w:rsid w:val="6E1938AF"/>
    <w:rsid w:val="6EA21A59"/>
    <w:rsid w:val="6F3354C8"/>
    <w:rsid w:val="6F4F7D4D"/>
    <w:rsid w:val="71191B60"/>
    <w:rsid w:val="71845ACA"/>
    <w:rsid w:val="71C965BE"/>
    <w:rsid w:val="72016718"/>
    <w:rsid w:val="72AC1CC9"/>
    <w:rsid w:val="739357C1"/>
    <w:rsid w:val="73AB1F81"/>
    <w:rsid w:val="740E02D5"/>
    <w:rsid w:val="74A05D67"/>
    <w:rsid w:val="752850C7"/>
    <w:rsid w:val="75287D2D"/>
    <w:rsid w:val="75720FA8"/>
    <w:rsid w:val="759B5BFF"/>
    <w:rsid w:val="75B01D32"/>
    <w:rsid w:val="75E30307"/>
    <w:rsid w:val="7630040E"/>
    <w:rsid w:val="76BB18DA"/>
    <w:rsid w:val="76F00ACA"/>
    <w:rsid w:val="772037FC"/>
    <w:rsid w:val="776D0BB8"/>
    <w:rsid w:val="78BA20BC"/>
    <w:rsid w:val="79344461"/>
    <w:rsid w:val="796075AF"/>
    <w:rsid w:val="79BD2A0E"/>
    <w:rsid w:val="79ED0498"/>
    <w:rsid w:val="7A0E4F5E"/>
    <w:rsid w:val="7A321C72"/>
    <w:rsid w:val="7A8A161B"/>
    <w:rsid w:val="7AC7367E"/>
    <w:rsid w:val="7BB156F1"/>
    <w:rsid w:val="7BCD512A"/>
    <w:rsid w:val="7BFB73C0"/>
    <w:rsid w:val="7C2428D0"/>
    <w:rsid w:val="7C4864CC"/>
    <w:rsid w:val="7CD73DE6"/>
    <w:rsid w:val="7CEF4308"/>
    <w:rsid w:val="7DF551A9"/>
    <w:rsid w:val="7E113AA3"/>
    <w:rsid w:val="7E662974"/>
    <w:rsid w:val="7EBB44F8"/>
    <w:rsid w:val="7F533BF8"/>
    <w:rsid w:val="7F923FCB"/>
    <w:rsid w:val="7F9B20D8"/>
    <w:rsid w:val="7FF5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qFormat/>
    <w:uiPriority w:val="0"/>
    <w:pPr>
      <w:ind w:left="840" w:leftChars="400"/>
    </w:p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4">
    <w:name w:val="Normal Grid"/>
    <w:basedOn w:val="9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15">
    <w:name w:val="Verbatim Char"/>
    <w:qFormat/>
    <w:uiPriority w:val="0"/>
    <w:rPr>
      <w:rFonts w:ascii="Times New Roman" w:hAnsi="Times New Roman" w:eastAsia="宋体" w:cs="Times New Roman"/>
      <w:kern w:val="2"/>
      <w:sz w:val="24"/>
      <w:szCs w:val="24"/>
      <w:shd w:val="clear" w:color="auto" w:fill="F8F8FA"/>
      <w:lang w:val="en-US" w:eastAsia="zh-CN" w:bidi="ar-SA"/>
    </w:rPr>
  </w:style>
  <w:style w:type="character" w:customStyle="1" w:styleId="16">
    <w:name w:val="font21"/>
    <w:basedOn w:val="11"/>
    <w:qFormat/>
    <w:uiPriority w:val="0"/>
    <w:rPr>
      <w:rFonts w:hint="default" w:ascii="Times New Roman" w:hAnsi="Times New Roman" w:cs="Times New Roman"/>
      <w:color w:val="000000"/>
      <w:sz w:val="21"/>
      <w:szCs w:val="21"/>
      <w:u w:val="none"/>
    </w:rPr>
  </w:style>
  <w:style w:type="character" w:customStyle="1" w:styleId="17">
    <w:name w:val="font11"/>
    <w:basedOn w:val="11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7144</Words>
  <Characters>9253</Characters>
  <Lines>0</Lines>
  <Paragraphs>0</Paragraphs>
  <TotalTime>0</TotalTime>
  <ScaleCrop>false</ScaleCrop>
  <LinksUpToDate>false</LinksUpToDate>
  <CharactersWithSpaces>9886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2026-03-09T04:39:00Z</dcterms:created>
  <dc:creator>陈锦文</dc:creator>
  <cp:lastModifiedBy>陈锦文</cp:lastModifiedBy>
  <dcterms:modified xsi:type="dcterms:W3CDTF">2026-03-13T13:05:09Z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32D22934412E4878875EBD5336E3472C_13</vt:lpwstr>
  </property>
  <property fmtid="{D5CDD505-2E9C-101B-9397-08002B2CF9AE}" pid="4" name="KSOTemplateDocerSaveRecord">
    <vt:lpwstr>eyJoZGlkIjoiNjVjZmQyZTA5NThiODFlNzJlYjliOGM5NWNlYWViNDEiLCJ1c2VySWQiOiI4MDAyMjU5MzkifQ==</vt:lpwstr>
  </property>
</Properties>
</file>