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F6E72E">
      <w:pPr>
        <w:shd w:val="clear"/>
        <w:spacing w:line="720" w:lineRule="auto"/>
        <w:jc w:val="center"/>
        <w:rPr>
          <w:rFonts w:hint="eastAsia" w:ascii="Times New Roman" w:hAnsi="Times New Roman" w:cs="Times New Roman"/>
          <w:sz w:val="44"/>
          <w:szCs w:val="44"/>
        </w:rPr>
      </w:pPr>
      <w:r>
        <w:rPr>
          <w:rFonts w:hint="eastAsia" w:ascii="Times New Roman" w:hAnsi="Times New Roman" w:cs="Times New Roman"/>
          <w:b/>
          <w:bCs/>
          <w:sz w:val="44"/>
          <w:szCs w:val="44"/>
        </w:rPr>
        <w:t>能质速三难困境：</w:t>
      </w:r>
      <w:r>
        <w:rPr>
          <w:rFonts w:hint="eastAsia" w:ascii="Times New Roman" w:hAnsi="Times New Roman" w:cs="Times New Roman"/>
          <w:b/>
          <w:bCs/>
          <w:sz w:val="44"/>
          <w:szCs w:val="44"/>
          <w:lang w:val="en-US" w:eastAsia="zh-CN"/>
        </w:rPr>
        <w:t>生成式语言</w:t>
      </w:r>
      <w:r>
        <w:rPr>
          <w:rFonts w:hint="eastAsia" w:ascii="Times New Roman" w:hAnsi="Times New Roman" w:cs="Times New Roman"/>
          <w:b/>
          <w:bCs/>
          <w:sz w:val="44"/>
          <w:szCs w:val="44"/>
        </w:rPr>
        <w:t>模型的跨任务效能边界与选择策略</w:t>
      </w:r>
    </w:p>
    <w:p w14:paraId="190F9DF0">
      <w:pPr>
        <w:shd w:val="clear"/>
        <w:spacing w:line="720" w:lineRule="auto"/>
        <w:ind w:firstLine="560" w:firstLineChars="200"/>
        <w:rPr>
          <w:rFonts w:hint="eastAsia" w:ascii="Times New Roman" w:hAnsi="Times New Roman" w:cs="Times New Roman"/>
          <w:sz w:val="28"/>
          <w:szCs w:val="28"/>
        </w:rPr>
      </w:pPr>
    </w:p>
    <w:p w14:paraId="072ACBF2">
      <w:pPr>
        <w:shd w:val="clear"/>
        <w:spacing w:line="720" w:lineRule="auto"/>
        <w:ind w:firstLine="560" w:firstLineChars="200"/>
        <w:rPr>
          <w:rFonts w:hint="eastAsia" w:ascii="Times New Roman" w:hAnsi="Times New Roman" w:cs="Times New Roman"/>
          <w:sz w:val="28"/>
          <w:szCs w:val="28"/>
        </w:rPr>
      </w:pPr>
    </w:p>
    <w:p w14:paraId="0FDEA888">
      <w:pPr>
        <w:keepNext w:val="0"/>
        <w:keepLines w:val="0"/>
        <w:pageBreakBefore w:val="0"/>
        <w:widowControl w:val="0"/>
        <w:shd w:val="clear"/>
        <w:kinsoku/>
        <w:wordWrap/>
        <w:overflowPunct/>
        <w:topLinePunct w:val="0"/>
        <w:autoSpaceDE/>
        <w:autoSpaceDN/>
        <w:bidi w:val="0"/>
        <w:adjustRightInd/>
        <w:snapToGrid/>
        <w:spacing w:line="720" w:lineRule="auto"/>
        <w:ind w:firstLine="2240" w:firstLineChars="800"/>
        <w:jc w:val="both"/>
        <w:textAlignment w:val="auto"/>
        <w:rPr>
          <w:rFonts w:hint="default" w:ascii="Times New Roman" w:hAnsi="Times New Roman" w:eastAsia="宋体" w:cs="Times New Roman"/>
          <w:sz w:val="28"/>
          <w:szCs w:val="28"/>
          <w:lang w:val="en-US" w:eastAsia="zh-CN"/>
        </w:rPr>
      </w:pPr>
      <w:r>
        <w:rPr>
          <w:rFonts w:ascii="Times New Roman" w:hAnsi="Times New Roman" w:cs="Times New Roman"/>
          <w:sz w:val="28"/>
          <w:szCs w:val="28"/>
        </w:rPr>
        <w:t>作品类别：</w:t>
      </w:r>
      <w:r>
        <w:rPr>
          <w:rFonts w:hint="eastAsia" w:ascii="Times New Roman" w:hAnsi="Times New Roman" w:cs="Times New Roman"/>
          <w:sz w:val="28"/>
          <w:szCs w:val="28"/>
          <w:u w:val="single"/>
        </w:rPr>
        <w:t>泛能源大数据类</w:t>
      </w:r>
    </w:p>
    <w:p w14:paraId="6BF423EC">
      <w:pPr>
        <w:keepNext w:val="0"/>
        <w:keepLines w:val="0"/>
        <w:pageBreakBefore w:val="0"/>
        <w:widowControl w:val="0"/>
        <w:shd w:val="clear"/>
        <w:kinsoku/>
        <w:wordWrap/>
        <w:overflowPunct/>
        <w:topLinePunct w:val="0"/>
        <w:autoSpaceDE/>
        <w:autoSpaceDN/>
        <w:bidi w:val="0"/>
        <w:adjustRightInd/>
        <w:snapToGrid/>
        <w:spacing w:line="720" w:lineRule="auto"/>
        <w:ind w:firstLine="2240" w:firstLineChars="800"/>
        <w:jc w:val="both"/>
        <w:textAlignment w:val="auto"/>
        <w:rPr>
          <w:rFonts w:hint="default" w:ascii="Times New Roman" w:hAnsi="Times New Roman" w:eastAsia="宋体" w:cs="Times New Roman"/>
          <w:sz w:val="28"/>
          <w:szCs w:val="28"/>
          <w:u w:val="single"/>
          <w:lang w:val="en-US" w:eastAsia="zh-CN"/>
        </w:rPr>
      </w:pPr>
      <w:r>
        <w:rPr>
          <w:rFonts w:ascii="Times New Roman" w:hAnsi="Times New Roman" w:cs="Times New Roman"/>
          <w:sz w:val="28"/>
          <w:szCs w:val="28"/>
        </w:rPr>
        <w:t>学</w:t>
      </w:r>
      <w:r>
        <w:rPr>
          <w:rFonts w:hint="eastAsia" w:ascii="Times New Roman" w:hAnsi="Times New Roman" w:cs="Times New Roman"/>
          <w:sz w:val="28"/>
          <w:szCs w:val="28"/>
          <w:lang w:val="en-US" w:eastAsia="zh-CN"/>
        </w:rPr>
        <w:t xml:space="preserve">    </w:t>
      </w:r>
      <w:r>
        <w:rPr>
          <w:rFonts w:ascii="Times New Roman" w:hAnsi="Times New Roman" w:cs="Times New Roman"/>
          <w:sz w:val="28"/>
          <w:szCs w:val="28"/>
        </w:rPr>
        <w:t>校：</w:t>
      </w:r>
      <w:r>
        <w:rPr>
          <w:rFonts w:hint="eastAsia" w:ascii="Times New Roman" w:hAnsi="Times New Roman" w:cs="Times New Roman"/>
          <w:sz w:val="28"/>
          <w:szCs w:val="28"/>
          <w:u w:val="single"/>
          <w:lang w:val="en-US" w:eastAsia="zh-CN"/>
        </w:rPr>
        <w:t xml:space="preserve">              </w:t>
      </w:r>
    </w:p>
    <w:p w14:paraId="10130F9F">
      <w:pPr>
        <w:shd w:val="clear"/>
        <w:spacing w:line="720" w:lineRule="auto"/>
        <w:ind w:firstLine="2240" w:firstLineChars="800"/>
        <w:jc w:val="both"/>
        <w:rPr>
          <w:rFonts w:hint="default" w:ascii="Times New Roman" w:hAnsi="Times New Roman" w:eastAsia="宋体" w:cs="Times New Roman"/>
          <w:sz w:val="28"/>
          <w:szCs w:val="28"/>
          <w:lang w:val="en-US" w:eastAsia="zh-CN"/>
        </w:rPr>
      </w:pPr>
      <w:r>
        <w:rPr>
          <w:rFonts w:ascii="Times New Roman" w:hAnsi="Times New Roman" w:cs="Times New Roman"/>
          <w:sz w:val="28"/>
          <w:szCs w:val="28"/>
        </w:rPr>
        <w:t>作者团队：</w:t>
      </w:r>
      <w:r>
        <w:rPr>
          <w:rFonts w:hint="eastAsia" w:ascii="Times New Roman" w:hAnsi="Times New Roman" w:cs="Times New Roman"/>
          <w:sz w:val="28"/>
          <w:szCs w:val="28"/>
          <w:u w:val="single"/>
          <w:lang w:val="en-US" w:eastAsia="zh-CN"/>
        </w:rPr>
        <w:t xml:space="preserve">              </w:t>
      </w:r>
    </w:p>
    <w:p w14:paraId="464AF60B">
      <w:pPr>
        <w:shd w:val="clear"/>
        <w:spacing w:line="720" w:lineRule="auto"/>
        <w:ind w:firstLine="2240" w:firstLineChars="800"/>
        <w:jc w:val="both"/>
        <w:rPr>
          <w:rFonts w:hint="default" w:ascii="Times New Roman" w:hAnsi="Times New Roman" w:eastAsia="宋体" w:cs="Times New Roman"/>
          <w:sz w:val="28"/>
          <w:szCs w:val="28"/>
          <w:lang w:val="en-US" w:eastAsia="zh-CN"/>
        </w:rPr>
      </w:pPr>
      <w:r>
        <w:rPr>
          <w:rFonts w:ascii="Times New Roman" w:hAnsi="Times New Roman" w:cs="Times New Roman"/>
          <w:sz w:val="28"/>
          <w:szCs w:val="28"/>
        </w:rPr>
        <w:t>学</w:t>
      </w:r>
      <w:r>
        <w:rPr>
          <w:rFonts w:hint="eastAsia" w:ascii="Times New Roman" w:hAnsi="Times New Roman" w:cs="Times New Roman"/>
          <w:sz w:val="28"/>
          <w:szCs w:val="28"/>
          <w:lang w:val="en-US" w:eastAsia="zh-CN"/>
        </w:rPr>
        <w:t xml:space="preserve">    </w:t>
      </w:r>
      <w:r>
        <w:rPr>
          <w:rFonts w:ascii="Times New Roman" w:hAnsi="Times New Roman" w:cs="Times New Roman"/>
          <w:sz w:val="28"/>
          <w:szCs w:val="28"/>
        </w:rPr>
        <w:t>号：</w:t>
      </w:r>
      <w:r>
        <w:rPr>
          <w:rFonts w:hint="eastAsia" w:ascii="Times New Roman" w:hAnsi="Times New Roman" w:cs="Times New Roman"/>
          <w:sz w:val="28"/>
          <w:szCs w:val="28"/>
          <w:u w:val="single"/>
          <w:lang w:val="en-US" w:eastAsia="zh-CN"/>
        </w:rPr>
        <w:t xml:space="preserve">              </w:t>
      </w:r>
    </w:p>
    <w:p w14:paraId="4E083396">
      <w:pPr>
        <w:shd w:val="clear"/>
        <w:spacing w:line="720" w:lineRule="auto"/>
        <w:ind w:firstLine="2240" w:firstLineChars="800"/>
        <w:jc w:val="both"/>
        <w:rPr>
          <w:rFonts w:hint="default" w:ascii="Times New Roman" w:hAnsi="Times New Roman" w:eastAsia="宋体" w:cs="Times New Roman"/>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ascii="Times New Roman" w:hAnsi="Times New Roman" w:cs="Times New Roman"/>
          <w:sz w:val="28"/>
          <w:szCs w:val="28"/>
        </w:rPr>
        <w:t>指导老师：</w:t>
      </w:r>
      <w:r>
        <w:rPr>
          <w:rFonts w:hint="eastAsia" w:ascii="Times New Roman" w:hAnsi="Times New Roman" w:cs="Times New Roman"/>
          <w:sz w:val="28"/>
          <w:szCs w:val="28"/>
          <w:u w:val="single"/>
          <w:lang w:val="en-US" w:eastAsia="zh-CN"/>
        </w:rPr>
        <w:t xml:space="preserve">              </w:t>
      </w:r>
    </w:p>
    <w:p w14:paraId="21C7A963">
      <w:pPr>
        <w:pStyle w:val="2"/>
        <w:keepNext w:val="0"/>
        <w:keepLines w:val="0"/>
        <w:widowControl/>
        <w:suppressLineNumbers w:val="0"/>
        <w:shd w:val="clear"/>
        <w:rPr>
          <w:rFonts w:ascii="Times New Roman" w:hAnsi="Times New Roman" w:cs="Times New Roman"/>
        </w:rPr>
      </w:pPr>
      <w:r>
        <w:rPr>
          <w:rFonts w:ascii="Times New Roman" w:hAnsi="Times New Roman" w:cs="Times New Roman"/>
        </w:rPr>
        <w:t xml:space="preserve">1 </w:t>
      </w:r>
      <w:r>
        <w:rPr>
          <w:rFonts w:hint="eastAsia" w:ascii="Times New Roman" w:hAnsi="Times New Roman" w:cs="Times New Roman"/>
        </w:rPr>
        <w:t>绪论</w:t>
      </w:r>
    </w:p>
    <w:p w14:paraId="63B6994D">
      <w:pPr>
        <w:pStyle w:val="3"/>
        <w:keepNext w:val="0"/>
        <w:keepLines w:val="0"/>
        <w:widowControl/>
        <w:suppressLineNumbers w:val="0"/>
        <w:shd w:val="clear"/>
        <w:rPr>
          <w:rFonts w:ascii="Times New Roman" w:hAnsi="Times New Roman" w:cs="Times New Roman"/>
        </w:rPr>
      </w:pPr>
      <w:r>
        <w:rPr>
          <w:rFonts w:ascii="Times New Roman" w:hAnsi="Times New Roman" w:cs="Times New Roman"/>
        </w:rPr>
        <w:t>1.1 研究背景</w:t>
      </w:r>
    </w:p>
    <w:p w14:paraId="37EEAB03">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近年来，以大语言模型（Large Language Models，LLMs）为代表的生成式人工智能技术迅速发展，并逐渐成为推动人工智能产业变革的重要力量。从早期的统计语言模型到以深度神经网络为核心的预训练语言模型，再到当前的超大规模基础模型，语言模型技术在短短十余年间实现了跨越式进步。特别是基于Transformer架构的预训练模型在自然语言处理任务中取得突破性成果，使机器在文本理解、知识推理和语言生成等方面的能力大幅提升。以GPT系列模型为代表的大语言模型已经在智能对话、代码生成、内容创作以及信息检索等领域展现出广泛的应用潜力（Brown et al., 2020）。</w:t>
      </w:r>
    </w:p>
    <w:p w14:paraId="0D5632EE">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随着模型规模不断扩大，研究者发现模型参数规模与模型性能之间呈现出显著的规模效应关系。当模型参数量、训练数据规模以及计算资源同时增加时，模型在多任务泛化能力方面会显著提升（Kaplan et al., 2020）。这一发现推动了语言模型规模的持续扩展，使得当前主流基础模型的参数规模已经从数十亿增长至数千亿甚至万亿级别。与此同时，开放式大模型生态也迅速形成，例如Meta发布的LLaMA系列模型、Google推出的PaLM模型以及多种开源语言模型，使得大语言模型逐渐成为人工智能基础设施的重要组成部分。</w:t>
      </w:r>
    </w:p>
    <w:p w14:paraId="7CB7FE1F">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然而，大模型规模扩展的背后也带来了巨大的计算资源消耗与能源成本问题。研究表明，训练大型深度学习模型往往需要长时间的大规模计算资源支持，其能源消耗与碳排放水平不容忽视（Patterson et al., 2021）。进一步研究指出，在模型被部署到大规模在线服务系统后，推理阶段的能源消耗甚至可能超过训练阶段的总能耗（Luccioni et al., 2023）。例如，在高并发智能对话服务场景中，每一次用户请求都需要调用复杂的神经网络进行推理计算，当请求规模达到亿级时，其累计能源消耗将十分巨大。</w:t>
      </w:r>
    </w:p>
    <w:p w14:paraId="697046E4">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随着生成式人工智能逐渐进入产业应用阶段，能源效率问题正在成为制约技术可持续发展的关键因素。一方面，大模型推理需要消耗大量GPU计算资源，导致数据中心运营成本显著上升；另一方面，人工智能系统快速增长的能源需求也引发了对其环境影响的广泛关注。近年来，学术界逐渐提出“绿色人工智能”（Green AI）概念，主张在模型研发和应用过程中同时关注性能提升与资源消耗之间的平衡关系（Schwartz et al., 2020）。</w:t>
      </w:r>
    </w:p>
    <w:p w14:paraId="7321C5A1">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在这一背景下，如何在保证模型输出质量的同时降低能源消耗，成为人工智能研究的重要议题。传统的大语言模型评估体系主要关注模型性能指标，例如准确率、推理能力或语言生成质量。然而，在实际生产环境中，模型的推理效率、计算资源占用以及能源消耗同样是影响模型部署决策的重要因素。因此，仅依赖性能指标进行模型评估已经难以满足现实需求。构建能够综合评估模型性能、效率与能源消耗的多维度评价体系，成为推动生成式人工智能可持续发展的关键研究方向。</w:t>
      </w:r>
    </w:p>
    <w:p w14:paraId="15DAB226">
      <w:pPr>
        <w:keepNext w:val="0"/>
        <w:keepLines w:val="0"/>
        <w:widowControl/>
        <w:suppressLineNumbers w:val="0"/>
        <w:shd w:val="clear"/>
        <w:rPr>
          <w:rFonts w:ascii="Times New Roman" w:hAnsi="Times New Roman" w:cs="Times New Roman"/>
        </w:rPr>
      </w:pPr>
    </w:p>
    <w:p w14:paraId="62634DCF">
      <w:pPr>
        <w:pStyle w:val="3"/>
        <w:keepNext w:val="0"/>
        <w:keepLines w:val="0"/>
        <w:widowControl/>
        <w:suppressLineNumbers w:val="0"/>
        <w:shd w:val="clear"/>
        <w:rPr>
          <w:rFonts w:ascii="Times New Roman" w:hAnsi="Times New Roman" w:cs="Times New Roman"/>
        </w:rPr>
      </w:pPr>
      <w:r>
        <w:rPr>
          <w:rFonts w:ascii="Times New Roman" w:hAnsi="Times New Roman" w:cs="Times New Roman"/>
        </w:rPr>
        <w:t>1.2 文献综述</w:t>
      </w:r>
    </w:p>
    <w:p w14:paraId="45F4C749">
      <w:pPr>
        <w:pStyle w:val="4"/>
        <w:keepNext w:val="0"/>
        <w:keepLines w:val="0"/>
        <w:widowControl/>
        <w:suppressLineNumbers w:val="0"/>
        <w:shd w:val="clear"/>
        <w:rPr>
          <w:rFonts w:ascii="Times New Roman" w:hAnsi="Times New Roman" w:cs="Times New Roman"/>
        </w:rPr>
      </w:pPr>
      <w:r>
        <w:rPr>
          <w:rFonts w:ascii="Times New Roman" w:hAnsi="Times New Roman" w:cs="Times New Roman"/>
        </w:rPr>
        <w:t>1.2.1 传统性能导向评估体系</w:t>
      </w:r>
    </w:p>
    <w:p w14:paraId="3AC5654A">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大语言模型评估研究的早期阶段主要集中于模型性能评价。随着预训练语言模型技术的发展，研究者提出了多种标准化评估基准，用于系统比较不同模型在自然语言处理任务中的表现。例如，GLUE基准通过多个自然语言理解任务评估模型的语义理解能力（Wang et al., 2018）。随后提出的SuperGLUE进一步提高了任务难度，以推动模型在复杂语言推理问题上的能力提升（Wang et al., 2019）。</w:t>
      </w:r>
    </w:p>
    <w:p w14:paraId="01F4D444">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随着模型规模的不断扩大，研究者开始构建更加综合性的评估体系。例如，多任务语言理解基准（MMLU）通过包含多个学科领域的问题集合，对模型的知识广度和推理能力进行测试（Hendrycks et al., 2021）。此外，HELM评估框架通过引入准确性、鲁棒性、公平性以及效率等多维度指标，尝试对语言模型进行更加全面的评价（Liang et al., 2022）。</w:t>
      </w:r>
    </w:p>
    <w:p w14:paraId="17F082DD">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这些评估体系在推动大语言模型性能提升方面发挥了重要作用。然而，其核心评价指标仍然主要集中在模型输出质量层面，而对模型推理效率与资源消耗关注不足。随着模型规模不断扩大，这种单一性能导向的评估方式逐渐显现出局限性。</w:t>
      </w:r>
    </w:p>
    <w:p w14:paraId="5EF6F0D9">
      <w:pPr>
        <w:keepNext w:val="0"/>
        <w:keepLines w:val="0"/>
        <w:widowControl/>
        <w:suppressLineNumbers w:val="0"/>
        <w:shd w:val="clear"/>
        <w:rPr>
          <w:rFonts w:ascii="Times New Roman" w:hAnsi="Times New Roman" w:cs="Times New Roman"/>
        </w:rPr>
      </w:pPr>
    </w:p>
    <w:p w14:paraId="60600549">
      <w:pPr>
        <w:pStyle w:val="4"/>
        <w:keepNext w:val="0"/>
        <w:keepLines w:val="0"/>
        <w:widowControl/>
        <w:suppressLineNumbers w:val="0"/>
        <w:shd w:val="clear"/>
        <w:rPr>
          <w:rFonts w:ascii="Times New Roman" w:hAnsi="Times New Roman" w:cs="Times New Roman"/>
        </w:rPr>
      </w:pPr>
      <w:r>
        <w:rPr>
          <w:rFonts w:ascii="Times New Roman" w:hAnsi="Times New Roman" w:cs="Times New Roman"/>
        </w:rPr>
        <w:t>1.2.2 大语言模型能效研究</w:t>
      </w:r>
    </w:p>
    <w:p w14:paraId="32E0E1BD">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随着“绿色人工智能”理念逐渐受到关注，越来越多研究开始关注深度学习模型的能源消耗问题。早期研究主要集中于模型训练阶段。例如，Strubell等人通过分析自然语言处理模型的训练过程，指出大型深度学习模型训练可能产生显著的碳排放，并呼吁在模型开发过程中考虑能源成本（Strubell et al., 2019）。</w:t>
      </w:r>
    </w:p>
    <w:p w14:paraId="466C0D7A">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随后，Patterson等人对大型神经网络训练的能源消耗进行了系统量化研究，并指出通过优化硬件配置和训练方法可以显著降低模型训练的碳排放（Patterson et al., 2021）。这些研究为理解人工智能系统的环境影响提供了重要基础。</w:t>
      </w:r>
    </w:p>
    <w:p w14:paraId="6EB41D20">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随着生成式人工智能服务逐渐普及，研究焦点开始从训练阶段转向推理阶段。Luccioni等人的研究指出，在大规模服务部署场景下，推理阶段的累计能源消耗可能远高于模型训练阶段（Luccioni et al., 2023）。此外，Cavagna等人通过对Transformer模型推理过程的系统实验分析发现，输入文本长度、输出生成长度以及模型规模都会显著影响模型能效表现。</w:t>
      </w:r>
    </w:p>
    <w:p w14:paraId="0E9B682E">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在技术层面，研究者提出了多种模型压缩与推理优化方法以降低计算成本。其中，模型量化技术通过将高精度浮点参数转换为低精度表示，可以显著降低模型计算复杂度并提高推理效率（Jacob et al., 2018）。此外，知识蒸馏方法通过训练轻量级学生模型模仿大型教师模型的行为，从而在保持较高性能的同时减少模型规模（Hinton et al., 2015）。网络剪枝技术则通过移除冗余权重降低模型复杂度（Han et al., 2016）。</w:t>
      </w:r>
    </w:p>
    <w:p w14:paraId="34D20681">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在系统层面，推理优化框架也不断发展。例如，vLLM通过改进内存管理机制显著提升GPU利用率（Kwon et al., 2023），而TensorRT-LLM通过深度优化计算图结构实现高性能推理（NVIDIA, 2023）。与此同时，针对人工智能负载设计的专用硬件加速器（如TPU）也在不断提升模型计算效率（Jouppi et al., 2017）。</w:t>
      </w:r>
    </w:p>
    <w:p w14:paraId="3DB4106D">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尽管这些研究在模型优化和系统加速方面取得了重要进展，但不同技术之间的能效提升效果往往缺乏统一的评估标准，难以在真实部署环境中进行系统比较。</w:t>
      </w:r>
    </w:p>
    <w:p w14:paraId="2F256F98">
      <w:pPr>
        <w:keepNext w:val="0"/>
        <w:keepLines w:val="0"/>
        <w:widowControl/>
        <w:suppressLineNumbers w:val="0"/>
        <w:shd w:val="clear"/>
        <w:rPr>
          <w:rFonts w:ascii="Times New Roman" w:hAnsi="Times New Roman" w:cs="Times New Roman"/>
        </w:rPr>
      </w:pPr>
    </w:p>
    <w:p w14:paraId="6A9FD3FB">
      <w:pPr>
        <w:pStyle w:val="4"/>
        <w:keepNext w:val="0"/>
        <w:keepLines w:val="0"/>
        <w:widowControl/>
        <w:suppressLineNumbers w:val="0"/>
        <w:shd w:val="clear"/>
        <w:rPr>
          <w:rFonts w:ascii="Times New Roman" w:hAnsi="Times New Roman" w:cs="Times New Roman"/>
        </w:rPr>
      </w:pPr>
      <w:r>
        <w:rPr>
          <w:rFonts w:ascii="Times New Roman" w:hAnsi="Times New Roman" w:cs="Times New Roman"/>
        </w:rPr>
        <w:t>1.2.3 多维评估框架研究</w:t>
      </w:r>
    </w:p>
    <w:p w14:paraId="2D5D1309">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为了弥补传统评估体系的不足，一些研究开始探索多维度模型评估框架。例如，部分研究提出将推理延迟、吞吐量以及计算成本纳入模型评价体系，从而更加全面地描述模型性能。</w:t>
      </w:r>
    </w:p>
    <w:p w14:paraId="2AD0B9A2">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在环境影响评估方面，Lacoste等人提出了Machine Learning Emissions Calculator，用于估算机器学习模型训练过程中的碳排放（Lacoste et al., 2019）。相关研究表明，通过量化模型能耗和碳排放，可以帮助研究者在模型开发过程中更好地理解环境成本。</w:t>
      </w:r>
    </w:p>
    <w:p w14:paraId="13C937A3">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此外，一些研究尝试通过综合评价方法对模型进行排名。例如，Mehditabar等人提出BRACE评估框架，通过统一评价指标体系对代码生成模型的功能正确性与资源消耗进行综合评估。</w:t>
      </w:r>
    </w:p>
    <w:p w14:paraId="616A502F">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尽管上述研究为多维度评估提供了有益探索，但整体而言仍处于初步阶段。现有研究往往侧重于单一模型或特定任务场景，缺乏统一实验条件下的大规模系统比较。此外，多数研究仍然将效率指标与性能指标分别报告，而缺乏能够综合权衡多维度指标的统一评价标准。</w:t>
      </w:r>
    </w:p>
    <w:p w14:paraId="4896C670">
      <w:pPr>
        <w:keepNext w:val="0"/>
        <w:keepLines w:val="0"/>
        <w:widowControl/>
        <w:suppressLineNumbers w:val="0"/>
        <w:shd w:val="clear"/>
        <w:rPr>
          <w:rFonts w:ascii="Times New Roman" w:hAnsi="Times New Roman" w:cs="Times New Roman"/>
        </w:rPr>
      </w:pPr>
    </w:p>
    <w:p w14:paraId="1C10C896">
      <w:pPr>
        <w:pStyle w:val="3"/>
        <w:keepNext w:val="0"/>
        <w:keepLines w:val="0"/>
        <w:widowControl/>
        <w:suppressLineNumbers w:val="0"/>
        <w:shd w:val="clear"/>
        <w:rPr>
          <w:rFonts w:ascii="Times New Roman" w:hAnsi="Times New Roman" w:cs="Times New Roman"/>
        </w:rPr>
      </w:pPr>
      <w:r>
        <w:rPr>
          <w:rFonts w:ascii="Times New Roman" w:hAnsi="Times New Roman" w:cs="Times New Roman"/>
        </w:rPr>
        <w:t>1.3 现有研究不足</w:t>
      </w:r>
    </w:p>
    <w:p w14:paraId="1AAE7A59">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综合现有文献可以发现，大语言模型能效评估研究仍存在以下几个方面的不足。</w:t>
      </w:r>
    </w:p>
    <w:p w14:paraId="5C29A2A3">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首先，现有研究大多集中于模型训练阶段或单一模型架构，对推理阶段不同模型属性之间的系统比较仍然较为有限。特别是在模型参数规模、量化精度以及训练方法等关键因素之间，缺乏统一实验环境下的系统性分析。</w:t>
      </w:r>
    </w:p>
    <w:p w14:paraId="6F340F4C">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其次，多数研究仅关注单一维度指标，例如推理速度或能源消耗，而缺乏对模型输出质量与能源效率之间权衡关系的系统研究。事实上，模型性能提升与能源消耗之间并不存在简单的线性关系。在某些情况下，更高的推理速度并不一定意味着更高的能源效率。</w:t>
      </w:r>
    </w:p>
    <w:p w14:paraId="3F80DC30">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再次，现有研究通常未能同时考虑模型属性、推理框架以及任务类型之间的交互作用。由于不同任务对模型计算结构和生成长度的需求不同，模型能效表现往往具有明显的任务依赖特征。因此，仅在单一任务或单一配置条件下进行评估，难以全面反映模型的实际应用表现。</w:t>
      </w:r>
    </w:p>
    <w:p w14:paraId="625D0EB3">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因此，有必要构建一个能够在统一实验环境下综合考虑模型性能、推理效率与能源消耗的系统化评估框架。</w:t>
      </w:r>
    </w:p>
    <w:p w14:paraId="24AFEA8F">
      <w:pPr>
        <w:keepNext w:val="0"/>
        <w:keepLines w:val="0"/>
        <w:widowControl/>
        <w:suppressLineNumbers w:val="0"/>
        <w:shd w:val="clear"/>
        <w:rPr>
          <w:rFonts w:ascii="Times New Roman" w:hAnsi="Times New Roman" w:cs="Times New Roman"/>
        </w:rPr>
      </w:pPr>
    </w:p>
    <w:p w14:paraId="44A84E8D">
      <w:pPr>
        <w:pStyle w:val="3"/>
        <w:keepNext w:val="0"/>
        <w:keepLines w:val="0"/>
        <w:widowControl/>
        <w:suppressLineNumbers w:val="0"/>
        <w:shd w:val="clear"/>
        <w:rPr>
          <w:rFonts w:ascii="Times New Roman" w:hAnsi="Times New Roman" w:cs="Times New Roman"/>
        </w:rPr>
      </w:pPr>
      <w:r>
        <w:rPr>
          <w:rFonts w:ascii="Times New Roman" w:hAnsi="Times New Roman" w:cs="Times New Roman"/>
        </w:rPr>
        <w:t>1.4 研究创新与贡献</w:t>
      </w:r>
    </w:p>
    <w:p w14:paraId="5F444E19">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针对上述研究不足，本文提出一种面向生成式人工智能模型的多维效质比评估框架，以系统评估大语言模型在不同配置条件下的综合表现。本文的主要贡献包括三个方面。</w:t>
      </w:r>
    </w:p>
    <w:p w14:paraId="34AFB95C">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第一，构建系统级能效测量框架。本文在统一硬件环境下建立系统级功耗监测机制，对模型推理全过程进行精细化能耗测量，并通过分阶段分析识别不同推理环节的能源消耗特征。</w:t>
      </w:r>
    </w:p>
    <w:p w14:paraId="73CD1AFD">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第二，提出多维效质比综合评价指标。本文在传统性能评价基础上引入效率指标与能耗指标，并通过归一化与加权整合方法构建综合评价指标，从而实现对模型“性能—效率—能耗”关系的量化描述。</w:t>
      </w:r>
    </w:p>
    <w:p w14:paraId="68FF6E2A">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第三，系统分析模型属性、推理框架与任务类型之间的交互关系。通过多因素实验设计，本文揭示不同模型规模、量化精度和推理优化框架在多种任务场景下的能效表现规律，为实际部署环境中的模型选型与优化提供决策依据。</w:t>
      </w:r>
    </w:p>
    <w:p w14:paraId="005D43DE">
      <w:pPr>
        <w:pStyle w:val="5"/>
        <w:keepNext w:val="0"/>
        <w:keepLines w:val="0"/>
        <w:widowControl/>
        <w:suppressLineNumbers w:val="0"/>
        <w:shd w:val="clear"/>
        <w:rPr>
          <w:rFonts w:ascii="Times New Roman" w:hAnsi="Times New Roman" w:cs="Times New Roman"/>
        </w:rPr>
      </w:pPr>
      <w:r>
        <w:rPr>
          <w:rFonts w:ascii="Times New Roman" w:hAnsi="Times New Roman" w:cs="Times New Roman"/>
        </w:rPr>
        <w:t>综上所述，本文从系统测量、评价方法与实验设计三个层面构建了一个完整的大语言模型能效评估体系，为推动生成式人工智能向绿色与可持续方向发展提供新的研究视角。</w:t>
      </w:r>
    </w:p>
    <w:p w14:paraId="07D55AAB">
      <w:pPr>
        <w:pStyle w:val="5"/>
        <w:keepNext w:val="0"/>
        <w:keepLines w:val="0"/>
        <w:widowControl/>
        <w:suppressLineNumbers w:val="0"/>
        <w:shd w:val="clear"/>
        <w:rPr>
          <w:rFonts w:ascii="Times New Roman" w:hAnsi="Times New Roman" w:cs="Times New Roman"/>
        </w:rPr>
      </w:pPr>
    </w:p>
    <w:p w14:paraId="1CCA5388">
      <w:pPr>
        <w:pStyle w:val="2"/>
        <w:keepNext w:val="0"/>
        <w:keepLines w:val="0"/>
        <w:widowControl/>
        <w:suppressLineNumbers w:val="0"/>
        <w:shd w:val="clear"/>
        <w:rPr>
          <w:rFonts w:hint="eastAsia" w:ascii="Times New Roman" w:hAnsi="Times New Roman" w:cs="Times New Roman"/>
          <w:lang w:val="en-US" w:eastAsia="zh-CN"/>
        </w:rPr>
      </w:pPr>
      <w:r>
        <w:rPr>
          <w:rFonts w:hint="eastAsia" w:ascii="Times New Roman" w:hAnsi="Times New Roman" w:cs="Times New Roman"/>
          <w:lang w:val="en-US" w:eastAsia="zh-CN"/>
        </w:rPr>
        <w:t>2 研究方法与实验设计</w:t>
      </w:r>
    </w:p>
    <w:p w14:paraId="3DEE87F8">
      <w:pPr>
        <w:pStyle w:val="3"/>
        <w:shd w:val="clear"/>
        <w:bidi w:val="0"/>
        <w:rPr>
          <w:rFonts w:hint="eastAsia" w:ascii="Times New Roman" w:hAnsi="Times New Roman" w:cs="Times New Roman"/>
          <w:lang w:val="en-US" w:eastAsia="zh-CN"/>
        </w:rPr>
      </w:pPr>
      <w:r>
        <w:rPr>
          <w:rFonts w:hint="eastAsia" w:ascii="Times New Roman" w:hAnsi="Times New Roman" w:cs="Times New Roman"/>
          <w:lang w:val="en-US" w:eastAsia="zh-CN"/>
        </w:rPr>
        <w:t>2.1 数据采集方法</w:t>
      </w:r>
    </w:p>
    <w:p w14:paraId="355E3F06">
      <w:pPr>
        <w:pStyle w:val="3"/>
        <w:shd w:val="clear"/>
        <w:bidi w:val="0"/>
        <w:rPr>
          <w:rFonts w:hint="eastAsia" w:ascii="Times New Roman" w:hAnsi="Times New Roman" w:cs="Times New Roman"/>
          <w:lang w:val="en-US" w:eastAsia="zh-CN"/>
        </w:rPr>
      </w:pPr>
      <w:r>
        <w:rPr>
          <w:rFonts w:hint="eastAsia" w:ascii="Times New Roman" w:hAnsi="Times New Roman" w:cs="Times New Roman"/>
          <w:lang w:val="en-US" w:eastAsia="zh-CN"/>
        </w:rPr>
        <w:t>2.2 质量得分方法</w:t>
      </w:r>
    </w:p>
    <w:p w14:paraId="2B2AC41B">
      <w:pPr>
        <w:pStyle w:val="3"/>
        <w:shd w:val="clear"/>
        <w:bidi w:val="0"/>
        <w:rPr>
          <w:rFonts w:hint="eastAsia" w:ascii="Times New Roman" w:hAnsi="Times New Roman" w:cs="Times New Roman"/>
          <w:lang w:val="en-US" w:eastAsia="zh-CN"/>
        </w:rPr>
      </w:pPr>
      <w:r>
        <w:rPr>
          <w:rFonts w:hint="eastAsia" w:ascii="Times New Roman" w:hAnsi="Times New Roman" w:cs="Times New Roman"/>
          <w:lang w:val="en-US" w:eastAsia="zh-CN"/>
        </w:rPr>
        <w:t>2.3 实验方法与设计</w:t>
      </w:r>
    </w:p>
    <w:p w14:paraId="7B157394">
      <w:pPr>
        <w:rPr>
          <w:rFonts w:hint="default"/>
          <w:lang w:val="en-US" w:eastAsia="zh-CN"/>
        </w:rPr>
      </w:pPr>
    </w:p>
    <w:p w14:paraId="08F7B810">
      <w:pPr>
        <w:pStyle w:val="2"/>
        <w:keepNext w:val="0"/>
        <w:keepLines w:val="0"/>
        <w:widowControl/>
        <w:suppressLineNumbers w:val="0"/>
        <w:shd w:val="clear"/>
        <w:rPr>
          <w:rFonts w:hint="default" w:ascii="Times New Roman" w:hAnsi="Times New Roman" w:cs="Times New Roman"/>
          <w:lang w:val="en-US" w:eastAsia="zh-CN"/>
        </w:rPr>
      </w:pPr>
      <w:r>
        <w:rPr>
          <w:rFonts w:hint="eastAsia" w:ascii="Times New Roman" w:hAnsi="Times New Roman" w:cs="Times New Roman"/>
          <w:lang w:val="en-US" w:eastAsia="zh-CN"/>
        </w:rPr>
        <w:t>3 数据基础与初步分析</w:t>
      </w:r>
    </w:p>
    <w:p w14:paraId="7FFACDBE">
      <w:pPr>
        <w:pStyle w:val="3"/>
        <w:shd w:val="clear"/>
        <w:bidi w:val="0"/>
        <w:rPr>
          <w:rFonts w:hint="default" w:ascii="Times New Roman" w:hAnsi="Times New Roman" w:cs="Times New Roman"/>
          <w:lang w:val="en-US" w:eastAsia="zh-CN"/>
        </w:rPr>
      </w:pPr>
      <w:r>
        <w:rPr>
          <w:rFonts w:hint="eastAsia" w:ascii="Times New Roman" w:hAnsi="Times New Roman" w:cs="Times New Roman"/>
          <w:lang w:val="en-US" w:eastAsia="zh-CN"/>
        </w:rPr>
        <w:t>3.1数据预处理</w:t>
      </w:r>
    </w:p>
    <w:p w14:paraId="06FE7038">
      <w:pPr>
        <w:pStyle w:val="3"/>
        <w:shd w:val="clear"/>
        <w:bidi w:val="0"/>
        <w:rPr>
          <w:rFonts w:hint="eastAsia" w:ascii="Times New Roman" w:hAnsi="Times New Roman" w:cs="Times New Roman"/>
          <w:lang w:val="en-US" w:eastAsia="zh-CN"/>
        </w:rPr>
      </w:pPr>
      <w:r>
        <w:rPr>
          <w:rFonts w:hint="eastAsia" w:ascii="Times New Roman" w:hAnsi="Times New Roman" w:cs="Times New Roman"/>
          <w:lang w:val="en-US" w:eastAsia="zh-CN"/>
        </w:rPr>
        <w:t>3.2 原始数据初步分析</w:t>
      </w:r>
    </w:p>
    <w:p w14:paraId="283F3062">
      <w:pPr>
        <w:pStyle w:val="3"/>
        <w:shd w:val="clear"/>
        <w:bidi w:val="0"/>
        <w:rPr>
          <w:rFonts w:hint="eastAsia" w:ascii="Times New Roman" w:hAnsi="Times New Roman" w:cs="Times New Roman"/>
          <w:lang w:val="en-US" w:eastAsia="zh-CN"/>
        </w:rPr>
      </w:pPr>
      <w:r>
        <w:rPr>
          <w:rFonts w:hint="eastAsia" w:ascii="Times New Roman" w:hAnsi="Times New Roman" w:cs="Times New Roman"/>
          <w:lang w:val="en-US" w:eastAsia="zh-CN"/>
        </w:rPr>
        <w:t>3.3 质量得分数据初步分析</w:t>
      </w:r>
    </w:p>
    <w:p w14:paraId="1EFA8414">
      <w:pPr>
        <w:shd w:val="clear"/>
        <w:rPr>
          <w:rFonts w:hint="default" w:ascii="Times New Roman" w:hAnsi="Times New Roman" w:cs="Times New Roman"/>
          <w:lang w:val="en-US" w:eastAsia="zh-CN"/>
        </w:rPr>
      </w:pPr>
    </w:p>
    <w:p w14:paraId="0227F468">
      <w:pPr>
        <w:pStyle w:val="2"/>
        <w:keepNext w:val="0"/>
        <w:keepLines w:val="0"/>
        <w:widowControl/>
        <w:suppressLineNumbers w:val="0"/>
        <w:shd w:val="clear"/>
        <w:rPr>
          <w:rFonts w:hint="eastAsia" w:ascii="Times New Roman" w:hAnsi="Times New Roman" w:cs="Times New Roman"/>
          <w:lang w:val="en-US" w:eastAsia="zh-CN"/>
        </w:rPr>
      </w:pPr>
      <w:r>
        <w:rPr>
          <w:rFonts w:hint="eastAsia" w:ascii="Times New Roman" w:hAnsi="Times New Roman" w:cs="Times New Roman"/>
          <w:lang w:val="en-US" w:eastAsia="zh-CN"/>
        </w:rPr>
        <w:t>4 能质速三难困境的实证分析</w:t>
      </w:r>
    </w:p>
    <w:p w14:paraId="0E000E2A">
      <w:pPr>
        <w:pStyle w:val="3"/>
        <w:shd w:val="clear"/>
        <w:bidi w:val="0"/>
        <w:rPr>
          <w:rFonts w:hint="eastAsia" w:ascii="Times New Roman" w:hAnsi="Times New Roman" w:cs="Times New Roman"/>
          <w:lang w:val="en-US" w:eastAsia="zh-CN"/>
        </w:rPr>
      </w:pPr>
      <w:r>
        <w:rPr>
          <w:rFonts w:hint="eastAsia" w:ascii="Times New Roman" w:hAnsi="Times New Roman" w:cs="Times New Roman"/>
          <w:lang w:val="en-US" w:eastAsia="zh-CN"/>
        </w:rPr>
        <w:t>4.1 多目标优化框架与帕累托前沿识别</w:t>
      </w:r>
    </w:p>
    <w:p w14:paraId="0532395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生成式语言模型的部署往往面临质量（Quality）、能耗（Energy）与速度（Speed）三者之间的权衡，这一“不可能三角”关系构成了模型选择的根本挑战。为了系统刻画不同模型在三个维度上的表现，我们引入多目标优化框架，采用帕累托前沿（Pareto Front）分析方法识别各任务场景下的最优权衡解集。</w:t>
      </w:r>
    </w:p>
    <w:p w14:paraId="2C72044C">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设模型集合为 </w:t>
      </w:r>
      <m:oMath>
        <m:r>
          <m:rPr>
            <m:scr m:val="script"/>
          </m:rPr>
          <w:rPr>
            <w:rFonts w:ascii="Times New Roman" w:hAnsi="Times New Roman" w:eastAsia="MS Mincho" w:cs="Times New Roman"/>
            <w:sz w:val="24"/>
            <w:szCs w:val="24"/>
          </w:rPr>
          <m:t>ℳ</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。对于给定任务 </w:t>
      </w:r>
      <m:oMath>
        <m:r>
          <m:rPr/>
          <w:rPr>
            <w:rFonts w:ascii="Times New Roman" w:hAnsi="Times New Roman" w:eastAsia="宋体" w:cs="Times New Roman"/>
            <w:sz w:val="24"/>
            <w:szCs w:val="24"/>
          </w:rPr>
          <m:t>t</m:t>
        </m:r>
      </m:oMath>
      <w:r>
        <w:rPr>
          <w:rFonts w:ascii="Times New Roman" w:hAnsi="Times New Roman" w:eastAsia="宋体" w:cs="Times New Roman"/>
          <w:sz w:val="24"/>
          <w:szCs w:val="24"/>
        </w:rPr>
        <w:t xml:space="preserve">，每个模型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对应一个三元组 </w:t>
      </w:r>
      <m:oMath>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s</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，其中：</w:t>
      </w:r>
    </w:p>
    <w:p w14:paraId="19F559E2">
      <w:pPr>
        <w:numPr>
          <w:ilvl w:val="0"/>
          <w:numId w:val="1"/>
        </w:numPr>
        <w:shd w:val="clear"/>
        <w:rPr>
          <w:rFonts w:ascii="Times New Roman" w:hAnsi="Times New Roman" w:eastAsia="宋体" w:cs="Times New Roman"/>
          <w:sz w:val="24"/>
          <w:szCs w:val="24"/>
        </w:rPr>
      </w:pP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∈[0,1]</m:t>
        </m:r>
      </m:oMath>
      <w:r>
        <w:rPr>
          <w:rFonts w:ascii="Times New Roman" w:hAnsi="Times New Roman" w:eastAsia="宋体" w:cs="Times New Roman"/>
          <w:sz w:val="24"/>
          <w:szCs w:val="24"/>
        </w:rPr>
        <w:t xml:space="preserve"> 为质量得分（越大越好），由任务特定指标（如BLEU、ROUGE-L、F1等）经归一化得到；</w:t>
      </w:r>
    </w:p>
    <w:p w14:paraId="4FA178E0">
      <w:pPr>
        <w:numPr>
          <w:ilvl w:val="0"/>
          <w:numId w:val="1"/>
        </w:numPr>
        <w:shd w:val="clear"/>
        <w:rPr>
          <w:rFonts w:ascii="Times New Roman" w:hAnsi="Times New Roman" w:eastAsia="宋体" w:cs="Times New Roman"/>
          <w:sz w:val="24"/>
          <w:szCs w:val="24"/>
        </w:rPr>
      </w:pP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&gt;0</m:t>
        </m:r>
      </m:oMath>
      <w:r>
        <w:rPr>
          <w:rFonts w:ascii="Times New Roman" w:hAnsi="Times New Roman" w:eastAsia="宋体" w:cs="Times New Roman"/>
          <w:sz w:val="24"/>
          <w:szCs w:val="24"/>
        </w:rPr>
        <w:t xml:space="preserve"> 为每生成一个token的平均能耗（单位：J/token），通过GPU功耗监控数据积分计算得出；</w:t>
      </w:r>
    </w:p>
    <w:p w14:paraId="02E615A0">
      <w:pPr>
        <w:numPr>
          <w:ilvl w:val="0"/>
          <w:numId w:val="1"/>
        </w:numPr>
        <w:shd w:val="clear"/>
        <w:rPr>
          <w:rFonts w:ascii="Times New Roman" w:hAnsi="Times New Roman" w:eastAsia="宋体" w:cs="Times New Roman"/>
          <w:sz w:val="24"/>
          <w:szCs w:val="24"/>
        </w:rPr>
      </w:pP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s</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&gt;0</m:t>
        </m:r>
      </m:oMath>
      <w:r>
        <w:rPr>
          <w:rFonts w:ascii="Times New Roman" w:hAnsi="Times New Roman" w:eastAsia="宋体" w:cs="Times New Roman"/>
          <w:sz w:val="24"/>
          <w:szCs w:val="24"/>
        </w:rPr>
        <w:t xml:space="preserve"> 为推理吞吐量（单位：tokens/s），反映模型生成速度。</w:t>
      </w:r>
    </w:p>
    <w:p w14:paraId="7A56852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为统一优化方向，将三个目标转化为最小化问题，定义目标向量 </w:t>
      </w:r>
      <m:oMath>
        <m:sSub>
          <m:sSubPr>
            <m:ctrlPr>
              <w:rPr>
                <w:rFonts w:ascii="Cambria Math" w:hAnsi="Cambria Math" w:eastAsia="宋体" w:cs="Times New Roman"/>
                <w:sz w:val="24"/>
                <w:szCs w:val="24"/>
              </w:rPr>
            </m:ctrlPr>
          </m:sSubPr>
          <m:e>
            <m:r>
              <m:rPr>
                <m:sty m:val="b"/>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3</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)=(1−</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 xml:space="preserve">,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 1/</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s</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。在此空间中，模型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帕累托支配（Pareto dominate）模型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（记作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）当且仅当：</w:t>
      </w:r>
    </w:p>
    <w:p w14:paraId="4AF6B5C8">
      <w:pPr>
        <w:shd w:val="clear"/>
        <w:spacing w:after="220"/>
        <w:rPr>
          <w:rFonts w:ascii="Times New Roman" w:hAnsi="Times New Roman" w:eastAsia="宋体" w:cs="Times New Roman"/>
          <w:sz w:val="24"/>
          <w:szCs w:val="24"/>
        </w:rPr>
      </w:pPr>
      <m:oMathPara>
        <m:oMath>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k</m:t>
          </m:r>
          <m:r>
            <m:rPr>
              <m:sty m:val="p"/>
            </m:rPr>
            <w:rPr>
              <w:rFonts w:ascii="Times New Roman" w:hAnsi="Times New Roman" w:eastAsia="宋体" w:cs="Times New Roman"/>
              <w:sz w:val="24"/>
              <w:szCs w:val="24"/>
            </w:rPr>
            <m:t xml:space="preserve">∈{1,2,3},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ik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jk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 xml:space="preserve"> </m:t>
          </m:r>
          <m:r>
            <m:rPr>
              <m:nor/>
              <m:sty m:val="p"/>
            </m:rPr>
            <w:rPr>
              <w:rFonts w:ascii="Times New Roman" w:hAnsi="Times New Roman" w:eastAsia="宋体" w:cs="Times New Roman"/>
              <w:sz w:val="24"/>
              <w:szCs w:val="24"/>
            </w:rPr>
            <m:t>且</m:t>
          </m:r>
          <m:r>
            <m:rPr>
              <m:sty m:val="p"/>
            </m:rPr>
            <w:rPr>
              <w:rFonts w:ascii="Times New Roman" w:hAnsi="Times New Roman" w:eastAsia="宋体" w:cs="Times New Roman"/>
              <w:sz w:val="24"/>
              <w:szCs w:val="24"/>
            </w:rPr>
            <m:t xml:space="preserve"> ∃</m:t>
          </m:r>
          <m:r>
            <m:rPr/>
            <w:rPr>
              <w:rFonts w:ascii="Times New Roman" w:hAnsi="Times New Roman" w:eastAsia="宋体" w:cs="Times New Roman"/>
              <w:sz w:val="24"/>
              <w:szCs w:val="24"/>
            </w:rPr>
            <m:t>k</m:t>
          </m:r>
          <m:r>
            <m:rPr>
              <m:sty m:val="p"/>
            </m:rPr>
            <w:rPr>
              <w:rFonts w:ascii="Times New Roman" w:hAnsi="Times New Roman" w:eastAsia="宋体" w:cs="Times New Roman"/>
              <w:sz w:val="24"/>
              <w:szCs w:val="24"/>
            </w:rPr>
            <m:t xml:space="preserve">,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ik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&lt;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jk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m:oMathPara>
    </w:p>
    <w:p w14:paraId="6B5309D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不被任何其他模型支配的模型构成帕累托最优集，即帕累托前沿：</w:t>
      </w:r>
    </w:p>
    <w:p w14:paraId="6AC192FB">
      <w:pPr>
        <w:shd w:val="clear"/>
        <w:spacing w:after="220"/>
        <w:rPr>
          <w:rFonts w:ascii="Times New Roman" w:hAnsi="Times New Roman" w:eastAsia="宋体" w:cs="Times New Roman"/>
          <w:sz w:val="24"/>
          <w:szCs w:val="24"/>
        </w:rPr>
      </w:pPr>
      <m:oMathPara>
        <m:oMath>
          <m:r>
            <m:rPr>
              <m:scr m:val="script"/>
            </m:rPr>
            <w:rPr>
              <w:rFonts w:ascii="Times New Roman" w:hAnsi="Times New Roman" w:eastAsia="MS Mincho" w:cs="Times New Roman"/>
              <w:sz w:val="24"/>
              <w:szCs w:val="24"/>
            </w:rPr>
            <m:t>P</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ℳ</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ℳ</m:t>
          </m:r>
          <m:r>
            <m:rPr>
              <m:sty m:val="p"/>
            </m:rPr>
            <w:rPr>
              <w:rFonts w:ascii="Times New Roman" w:hAnsi="Times New Roman" w:eastAsia="宋体" w:cs="Times New Roman"/>
              <w:sz w:val="24"/>
              <w:szCs w:val="24"/>
            </w:rPr>
            <m:t xml:space="preserve">,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m:oMathPara>
    </w:p>
    <w:p w14:paraId="03885B0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为定量评价帕累托前沿的质量，我们引入超体积（Hypervolume, HV）指标[1]。选择参考点 </w:t>
      </w:r>
      <m:oMath>
        <m:r>
          <m:rPr>
            <m:sty m:val="b"/>
          </m:rPr>
          <w:rPr>
            <w:rFonts w:ascii="Times New Roman" w:hAnsi="Times New Roman" w:eastAsia="宋体" w:cs="Times New Roman"/>
            <w:sz w:val="24"/>
            <w:szCs w:val="24"/>
          </w:rPr>
          <m:t>r</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3</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 为各目标在观测集上的最大值（即最劣值），则超体积定义为由参考点与前沿点围成的区域的体积：</w:t>
      </w:r>
    </w:p>
    <w:p w14:paraId="61FF3DF2">
      <w:pPr>
        <w:shd w:val="clear"/>
        <w:spacing w:after="220"/>
        <w:rPr>
          <w:rFonts w:ascii="Times New Roman" w:hAnsi="Times New Roman" w:eastAsia="宋体" w:cs="Times New Roman"/>
          <w:sz w:val="24"/>
          <w:szCs w:val="24"/>
        </w:rPr>
      </w:pPr>
      <m:oMathPara>
        <m:oMath>
          <m:r>
            <m:rPr/>
            <w:rPr>
              <w:rFonts w:ascii="Times New Roman" w:hAnsi="Times New Roman" w:eastAsia="宋体" w:cs="Times New Roman"/>
              <w:sz w:val="24"/>
              <w:szCs w:val="24"/>
            </w:rPr>
            <m:t>HV</m:t>
          </m:r>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P</m:t>
          </m:r>
          <m:r>
            <m:rPr>
              <m:sty m:val="p"/>
            </m:rPr>
            <w:rPr>
              <w:rFonts w:ascii="Times New Roman" w:hAnsi="Times New Roman" w:eastAsia="宋体" w:cs="Times New Roman"/>
              <w:sz w:val="24"/>
              <w:szCs w:val="24"/>
            </w:rPr>
            <m:t>)=</m:t>
          </m:r>
          <m:r>
            <m:rPr>
              <m:nor/>
              <m:sty m:val="p"/>
            </m:rPr>
            <w:rPr>
              <w:rFonts w:ascii="Times New Roman" w:hAnsi="Times New Roman" w:eastAsia="宋体" w:cs="Times New Roman"/>
              <w:sz w:val="24"/>
              <w:szCs w:val="24"/>
            </w:rPr>
            <m:t>volume</m:t>
          </m:r>
          <m:d>
            <m:dPr>
              <m:ctrlPr>
                <w:rPr>
                  <w:rFonts w:ascii="Cambria Math" w:hAnsi="Cambria Math" w:eastAsia="宋体" w:cs="Times New Roman"/>
                  <w:sz w:val="24"/>
                  <w:szCs w:val="24"/>
                </w:rPr>
              </m:ctrlPr>
            </m:dPr>
            <m:e>
              <m:nary>
                <m:naryPr>
                  <m:chr m:val="⋃"/>
                  <m:grow m:val="1"/>
                  <m:limLoc m:val="undOvr"/>
                  <m:supHide m:val="1"/>
                  <m:ctrlPr>
                    <w:rPr>
                      <w:rFonts w:ascii="Cambria Math" w:hAnsi="Cambria Math" w:eastAsia="宋体" w:cs="Times New Roman"/>
                      <w:sz w:val="24"/>
                      <w:szCs w:val="24"/>
                    </w:rPr>
                  </m:ctrlPr>
                </m:naryPr>
                <m:sub>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P</m:t>
                  </m:r>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nary>
                <m:naryPr>
                  <m:chr m:val="∏"/>
                  <m:grow m:val="1"/>
                  <m:limLoc m:val="undOvr"/>
                  <m:ctrlPr>
                    <w:rPr>
                      <w:rFonts w:ascii="Cambria Math" w:hAnsi="Cambria Math" w:eastAsia="宋体" w:cs="Times New Roman"/>
                      <w:sz w:val="24"/>
                      <w:szCs w:val="24"/>
                    </w:rPr>
                  </m:ctrlPr>
                </m:naryPr>
                <m:sub>
                  <m:r>
                    <m:rPr/>
                    <w:rPr>
                      <w:rFonts w:ascii="Times New Roman" w:hAnsi="Times New Roman" w:eastAsia="宋体" w:cs="Times New Roman"/>
                      <w:sz w:val="24"/>
                      <w:szCs w:val="24"/>
                    </w:rPr>
                    <m:t>k</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up>
                  <m:r>
                    <m:rPr>
                      <m:sty m:val="p"/>
                    </m:rPr>
                    <w:rPr>
                      <w:rFonts w:ascii="Times New Roman" w:hAnsi="Times New Roman" w:eastAsia="宋体" w:cs="Times New Roman"/>
                      <w:sz w:val="24"/>
                      <w:szCs w:val="24"/>
                    </w:rPr>
                    <m:t>3</m:t>
                  </m:r>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ik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w:rPr>
                      <w:rFonts w:ascii="Times New Roman" w:hAnsi="Times New Roman" w:eastAsia="宋体" w:cs="Times New Roman"/>
                      <w:sz w:val="24"/>
                      <w:szCs w:val="24"/>
                    </w:rPr>
                    <m:t>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e>
          </m:d>
          <m:r>
            <m:rPr>
              <m:sty m:val="p"/>
            </m:rPr>
            <w:rPr>
              <w:rFonts w:ascii="Times New Roman" w:hAnsi="Times New Roman" w:eastAsia="宋体" w:cs="Times New Roman"/>
              <w:sz w:val="24"/>
              <w:szCs w:val="24"/>
            </w:rPr>
            <m:t>.</m:t>
          </m:r>
        </m:oMath>
      </m:oMathPara>
    </w:p>
    <w:p w14:paraId="020B2E89">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超体积越大，表明前沿覆盖的目标空间越广，即存在更多样化的权衡解。此外，采用间距指标（Spacing, SP）[2]度量前沿点的分布均匀性：</w:t>
      </w:r>
    </w:p>
    <w:p w14:paraId="07102692">
      <w:pPr>
        <w:shd w:val="clear"/>
        <w:spacing w:after="220"/>
        <w:rPr>
          <w:rFonts w:ascii="Times New Roman" w:hAnsi="Times New Roman" w:eastAsia="宋体" w:cs="Times New Roman"/>
          <w:sz w:val="24"/>
          <w:szCs w:val="24"/>
        </w:rPr>
      </w:pPr>
      <m:oMathPara>
        <m:oMath>
          <m:r>
            <m:rPr/>
            <w:rPr>
              <w:rFonts w:ascii="Times New Roman" w:hAnsi="Times New Roman" w:eastAsia="宋体" w:cs="Times New Roman"/>
              <w:sz w:val="24"/>
              <w:szCs w:val="24"/>
            </w:rPr>
            <m:t>SP</m:t>
          </m:r>
          <m:r>
            <m:rPr>
              <m:sty m:val="p"/>
            </m:rPr>
            <w:rPr>
              <w:rFonts w:ascii="Times New Roman" w:hAnsi="Times New Roman" w:eastAsia="宋体" w:cs="Times New Roman"/>
              <w:sz w:val="24"/>
              <w:szCs w:val="24"/>
            </w:rPr>
            <m:t>=</m:t>
          </m:r>
          <m:rad>
            <m:radPr>
              <m:degHide m:val="1"/>
              <m:ctrlPr>
                <w:rPr>
                  <w:rFonts w:ascii="Cambria Math" w:hAnsi="Cambria Math" w:eastAsia="宋体" w:cs="Times New Roman"/>
                  <w:sz w:val="24"/>
                  <w:szCs w:val="24"/>
                </w:rPr>
              </m:ctrlPr>
            </m:radPr>
            <m:deg>
              <m:ctrlPr>
                <w:rPr>
                  <w:rFonts w:ascii="Cambria Math" w:hAnsi="Cambria Math" w:eastAsia="宋体" w:cs="Times New Roman"/>
                  <w:sz w:val="24"/>
                  <w:szCs w:val="24"/>
                </w:rPr>
              </m:ctrlPr>
            </m:deg>
            <m:e>
              <m:f>
                <m:fPr>
                  <m:ctrlPr>
                    <w:rPr>
                      <w:rFonts w:ascii="Cambria Math" w:hAnsi="Cambria Math" w:eastAsia="宋体" w:cs="Times New Roman"/>
                      <w:sz w:val="24"/>
                      <w:szCs w:val="24"/>
                    </w:rPr>
                  </m:ctrlPr>
                </m:fPr>
                <m:num>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num>
                <m:den>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P</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den>
              </m:f>
              <m:nary>
                <m:naryPr>
                  <m:chr m:val="∑"/>
                  <m:grow m:val="1"/>
                  <m:limLoc m:val="undOvr"/>
                  <m:ctrlPr>
                    <w:rPr>
                      <w:rFonts w:ascii="Cambria Math" w:hAnsi="Cambria Math" w:eastAsia="宋体" w:cs="Times New Roman"/>
                      <w:sz w:val="24"/>
                      <w:szCs w:val="24"/>
                    </w:rPr>
                  </m:ctrlPr>
                </m:naryPr>
                <m:sub>
                  <m:r>
                    <m:rPr/>
                    <w:rPr>
                      <w:rFonts w:ascii="Times New Roman" w:hAnsi="Times New Roman" w:eastAsia="宋体" w:cs="Times New Roman"/>
                      <w:sz w:val="24"/>
                      <w:szCs w:val="24"/>
                    </w:rPr>
                    <m:t>i</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up>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P</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acc>
                <m:accPr>
                  <m:chr m:val="‾"/>
                  <m:ctrlPr>
                    <w:rPr>
                      <w:rFonts w:ascii="Cambria Math" w:hAnsi="Cambria Math" w:eastAsia="宋体" w:cs="Times New Roman"/>
                      <w:sz w:val="24"/>
                      <w:szCs w:val="24"/>
                    </w:rPr>
                  </m:ctrlPr>
                </m:accPr>
                <m:e>
                  <m:r>
                    <m:rPr/>
                    <w:rPr>
                      <w:rFonts w:ascii="Times New Roman" w:hAnsi="Times New Roman" w:eastAsia="宋体" w:cs="Times New Roman"/>
                      <w:sz w:val="24"/>
                      <w:szCs w:val="24"/>
                    </w:rPr>
                    <m:t>d</m:t>
                  </m:r>
                  <m:ctrlPr>
                    <w:rPr>
                      <w:rFonts w:ascii="Cambria Math" w:hAnsi="Cambria Math" w:eastAsia="宋体" w:cs="Times New Roman"/>
                      <w:sz w:val="24"/>
                      <w:szCs w:val="24"/>
                    </w:rPr>
                  </m:ctrlPr>
                </m:e>
              </m:acc>
              <m:sSup>
                <m:sSupPr>
                  <m:ctrlPr>
                    <w:rPr>
                      <w:rFonts w:ascii="Cambria Math" w:hAnsi="Cambria Math" w:eastAsia="宋体" w:cs="Times New Roman"/>
                      <w:sz w:val="24"/>
                      <w:szCs w:val="24"/>
                    </w:rPr>
                  </m:ctrlPr>
                </m:sSupPr>
                <m:e>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ctrlPr>
                <w:rPr>
                  <w:rFonts w:ascii="Cambria Math" w:hAnsi="Cambria Math" w:eastAsia="宋体" w:cs="Times New Roman"/>
                  <w:sz w:val="24"/>
                  <w:szCs w:val="24"/>
                </w:rPr>
              </m:ctrlPr>
            </m:e>
          </m:rad>
          <m:r>
            <m:rPr>
              <m:sty m:val="p"/>
            </m:rPr>
            <w:rPr>
              <w:rFonts w:ascii="Times New Roman" w:hAnsi="Times New Roman" w:eastAsia="宋体" w:cs="Times New Roman"/>
              <w:sz w:val="24"/>
              <w:szCs w:val="24"/>
            </w:rPr>
            <m:t>,</m:t>
          </m:r>
        </m:oMath>
      </m:oMathPara>
    </w:p>
    <w:p w14:paraId="6BF80C94">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其中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为归一化目标空间中相邻前沿点之间的欧氏距离，</w:t>
      </w:r>
      <m:oMath>
        <m:acc>
          <m:accPr>
            <m:chr m:val="‾"/>
            <m:ctrlPr>
              <w:rPr>
                <w:rFonts w:ascii="Cambria Math" w:hAnsi="Cambria Math" w:eastAsia="宋体" w:cs="Times New Roman"/>
                <w:sz w:val="24"/>
                <w:szCs w:val="24"/>
              </w:rPr>
            </m:ctrlPr>
          </m:accPr>
          <m:e>
            <m:r>
              <m:rPr/>
              <w:rPr>
                <w:rFonts w:ascii="Times New Roman" w:hAnsi="Times New Roman" w:eastAsia="宋体" w:cs="Times New Roman"/>
                <w:sz w:val="24"/>
                <w:szCs w:val="24"/>
              </w:rPr>
              <m:t>d</m:t>
            </m:r>
            <m:ctrlPr>
              <w:rPr>
                <w:rFonts w:ascii="Cambria Math" w:hAnsi="Cambria Math" w:eastAsia="宋体" w:cs="Times New Roman"/>
                <w:sz w:val="24"/>
                <w:szCs w:val="24"/>
              </w:rPr>
            </m:ctrlPr>
          </m:e>
        </m:acc>
      </m:oMath>
      <w:r>
        <w:rPr>
          <w:rFonts w:ascii="Times New Roman" w:hAnsi="Times New Roman" w:eastAsia="宋体" w:cs="Times New Roman"/>
          <w:sz w:val="24"/>
          <w:szCs w:val="24"/>
        </w:rPr>
        <w:t xml:space="preserve"> 为其平均值。较小的SP值表示前沿分布更均匀，有利于决策者获得丰富的选择。</w:t>
      </w:r>
    </w:p>
    <w:p w14:paraId="37A692B4">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为识别质量与能耗之间的最优权衡点（即“拐点”模型），我们进行凸包分析。对于质量-能耗二维前沿，定义理想点 </w:t>
      </w:r>
      <m:oMath>
        <m:sSup>
          <m:sSupPr>
            <m:ctrlPr>
              <w:rPr>
                <w:rFonts w:ascii="Cambria Math" w:hAnsi="Cambria Math" w:eastAsia="宋体" w:cs="Times New Roman"/>
                <w:sz w:val="24"/>
                <w:szCs w:val="24"/>
              </w:rPr>
            </m:ctrlPr>
          </m:sSupPr>
          <m:e>
            <m:r>
              <m:rPr>
                <m:sty m:val="b"/>
              </m:rPr>
              <w:rPr>
                <w:rFonts w:ascii="Times New Roman" w:hAnsi="Times New Roman" w:eastAsia="宋体" w:cs="Times New Roman"/>
                <w:sz w:val="24"/>
                <w:szCs w:val="24"/>
              </w:rPr>
              <m:t>z</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sup>
        </m:sSup>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max</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min</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，计算每个前沿点与理想点的欧氏距离：</w:t>
      </w:r>
    </w:p>
    <w:p w14:paraId="0B7BD6FA">
      <w:pPr>
        <w:shd w:val="clea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δ</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ad>
            <m:radPr>
              <m:degHide m:val="1"/>
              <m:ctrlPr>
                <w:rPr>
                  <w:rFonts w:ascii="Cambria Math" w:hAnsi="Cambria Math" w:eastAsia="宋体" w:cs="Times New Roman"/>
                  <w:sz w:val="24"/>
                  <w:szCs w:val="24"/>
                </w:rPr>
              </m:ctrlPr>
            </m:radPr>
            <m:deg>
              <m:ctrlPr>
                <w:rPr>
                  <w:rFonts w:ascii="Cambria Math" w:hAnsi="Cambria Math" w:eastAsia="宋体" w:cs="Times New Roman"/>
                  <w:sz w:val="24"/>
                  <w:szCs w:val="24"/>
                </w:rPr>
              </m:ctrlPr>
            </m:deg>
            <m:e>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max</m:t>
                  </m:r>
                  <m:ctrlPr>
                    <w:rPr>
                      <w:rFonts w:ascii="Cambria Math" w:hAnsi="Cambria Math" w:eastAsia="宋体" w:cs="Times New Roman"/>
                      <w:sz w:val="24"/>
                      <w:szCs w:val="24"/>
                    </w:rPr>
                  </m:ctrlPr>
                </m:sub>
              </m:sSub>
              <m:sSup>
                <m:sSupPr>
                  <m:ctrlPr>
                    <w:rPr>
                      <w:rFonts w:ascii="Cambria Math" w:hAnsi="Cambria Math" w:eastAsia="宋体" w:cs="Times New Roman"/>
                      <w:sz w:val="24"/>
                      <w:szCs w:val="24"/>
                    </w:rPr>
                  </m:ctrlPr>
                </m:sSupPr>
                <m:e>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min</m:t>
                  </m:r>
                  <m:ctrlPr>
                    <w:rPr>
                      <w:rFonts w:ascii="Cambria Math" w:hAnsi="Cambria Math" w:eastAsia="宋体" w:cs="Times New Roman"/>
                      <w:sz w:val="24"/>
                      <w:szCs w:val="24"/>
                    </w:rPr>
                  </m:ctrlPr>
                </m:sub>
              </m:sSub>
              <m:sSup>
                <m:sSupPr>
                  <m:ctrlPr>
                    <w:rPr>
                      <w:rFonts w:ascii="Cambria Math" w:hAnsi="Cambria Math" w:eastAsia="宋体" w:cs="Times New Roman"/>
                      <w:sz w:val="24"/>
                      <w:szCs w:val="24"/>
                    </w:rPr>
                  </m:ctrlPr>
                </m:sSupPr>
                <m:e>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ctrlPr>
                <w:rPr>
                  <w:rFonts w:ascii="Cambria Math" w:hAnsi="Cambria Math" w:eastAsia="宋体" w:cs="Times New Roman"/>
                  <w:sz w:val="24"/>
                  <w:szCs w:val="24"/>
                </w:rPr>
              </m:ctrlPr>
            </m:e>
          </m:rad>
          <m:r>
            <m:rPr>
              <m:sty m:val="p"/>
            </m:rPr>
            <w:rPr>
              <w:rFonts w:ascii="Times New Roman" w:hAnsi="Times New Roman" w:eastAsia="宋体" w:cs="Times New Roman"/>
              <w:sz w:val="24"/>
              <w:szCs w:val="24"/>
            </w:rPr>
            <m:t>.</m:t>
          </m:r>
        </m:oMath>
      </m:oMathPara>
    </w:p>
    <w:p w14:paraId="5E924146">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距离最小者即为拐点模型，代表在最小化能耗损失的前提下获得最高质量的配置。</w:t>
      </w:r>
    </w:p>
    <w:p w14:paraId="1E3AC1CB">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最后，为保证结果的统计可靠性，我们进行两项稳健性检验：</w:t>
      </w:r>
    </w:p>
    <w:p w14:paraId="5455D1A7">
      <w:pPr>
        <w:numPr>
          <w:ilvl w:val="0"/>
          <w:numId w:val="2"/>
        </w:numPr>
        <w:shd w:val="clear"/>
        <w:rPr>
          <w:rFonts w:ascii="Times New Roman" w:hAnsi="Times New Roman" w:eastAsia="宋体" w:cs="Times New Roman"/>
          <w:sz w:val="24"/>
          <w:szCs w:val="24"/>
        </w:rPr>
      </w:pPr>
      <w:r>
        <w:rPr>
          <w:rFonts w:ascii="Times New Roman" w:hAnsi="Times New Roman" w:eastAsia="宋体" w:cs="Times New Roman"/>
          <w:b/>
          <w:sz w:val="24"/>
          <w:szCs w:val="24"/>
        </w:rPr>
        <w:t>扰动测试</w:t>
      </w:r>
      <w:r>
        <w:rPr>
          <w:rFonts w:ascii="Times New Roman" w:hAnsi="Times New Roman" w:eastAsia="宋体" w:cs="Times New Roman"/>
          <w:sz w:val="24"/>
          <w:szCs w:val="24"/>
        </w:rPr>
        <w:t>：对原始质量得分施加±5%的均匀随机噪声，重复100次，计算每次识别出的前沿模型，以扰动一致性（前沿模型保持不变的频率）衡量对测量误差的敏感性。</w:t>
      </w:r>
    </w:p>
    <w:p w14:paraId="0AB168B9">
      <w:pPr>
        <w:numPr>
          <w:ilvl w:val="0"/>
          <w:numId w:val="2"/>
        </w:numPr>
        <w:shd w:val="clear"/>
        <w:rPr>
          <w:rFonts w:ascii="Times New Roman" w:hAnsi="Times New Roman" w:eastAsia="宋体" w:cs="Times New Roman"/>
          <w:sz w:val="24"/>
          <w:szCs w:val="24"/>
        </w:rPr>
      </w:pPr>
      <w:r>
        <w:rPr>
          <w:rFonts w:ascii="Times New Roman" w:hAnsi="Times New Roman" w:eastAsia="宋体" w:cs="Times New Roman"/>
          <w:b/>
          <w:sz w:val="24"/>
          <w:szCs w:val="24"/>
        </w:rPr>
        <w:t>交叉验证</w:t>
      </w:r>
      <w:r>
        <w:rPr>
          <w:rFonts w:ascii="Times New Roman" w:hAnsi="Times New Roman" w:eastAsia="宋体" w:cs="Times New Roman"/>
          <w:sz w:val="24"/>
          <w:szCs w:val="24"/>
        </w:rPr>
        <w:t>：采用5折交叉验证，每次随机抽取80%的模型（保持多样性）进行前沿识别，统计各模型出现在前沿中的频次，评估样本变化对结果的影响。</w:t>
      </w:r>
    </w:p>
    <w:p w14:paraId="6F00F246">
      <w:pPr>
        <w:shd w:val="clear"/>
        <w:rPr>
          <w:rFonts w:hint="eastAsia"/>
          <w:lang w:val="en-US" w:eastAsia="zh-CN"/>
        </w:rPr>
      </w:pPr>
    </w:p>
    <w:p w14:paraId="32B53FD1">
      <w:pPr>
        <w:pStyle w:val="3"/>
        <w:shd w:val="clear"/>
        <w:bidi w:val="0"/>
        <w:rPr>
          <w:rFonts w:hint="eastAsia" w:ascii="Times New Roman" w:hAnsi="Times New Roman" w:cs="Times New Roman"/>
          <w:lang w:val="en-US" w:eastAsia="zh-CN"/>
        </w:rPr>
      </w:pPr>
      <w:r>
        <w:rPr>
          <w:rFonts w:hint="eastAsia" w:ascii="Times New Roman" w:hAnsi="Times New Roman" w:cs="Times New Roman"/>
          <w:lang w:val="en-US" w:eastAsia="zh-CN"/>
        </w:rPr>
        <w:t>4.2 分任务帕累托前沿分析</w:t>
      </w:r>
    </w:p>
    <w:p w14:paraId="447DD1F8">
      <w:pPr>
        <w:pStyle w:val="4"/>
        <w:shd w:val="clear"/>
        <w:bidi w:val="0"/>
        <w:rPr>
          <w:rFonts w:hint="eastAsia"/>
          <w:lang w:val="en-US" w:eastAsia="zh-CN"/>
        </w:rPr>
      </w:pPr>
      <w:r>
        <w:rPr>
          <w:rFonts w:hint="eastAsia"/>
          <w:lang w:val="en-US" w:eastAsia="zh-CN"/>
        </w:rPr>
        <w:t>4.2.1 质量得分数据降维</w:t>
      </w:r>
    </w:p>
    <w:p w14:paraId="65DAF413">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为了量化评估模型在</w:t>
      </w:r>
      <w:r>
        <w:rPr>
          <w:rFonts w:ascii="Times New Roman" w:hAnsi="Times New Roman" w:eastAsia="宋体" w:cs="Times New Roman"/>
          <w:b/>
          <w:sz w:val="24"/>
          <w:szCs w:val="24"/>
        </w:rPr>
        <w:t>能耗（Energy）、质量（Quality）、速度（Speed）</w:t>
      </w:r>
      <w:r>
        <w:rPr>
          <w:rFonts w:ascii="Times New Roman" w:hAnsi="Times New Roman" w:eastAsia="宋体" w:cs="Times New Roman"/>
          <w:sz w:val="24"/>
          <w:szCs w:val="24"/>
        </w:rPr>
        <w:t xml:space="preserve"> 三个维度上的表现，我们首先需要对“质量”这一抽象概念进行降维和定义。针对每个任务，我们</w:t>
      </w:r>
      <w:r>
        <w:rPr>
          <w:rFonts w:hint="eastAsia" w:cs="Times New Roman"/>
          <w:sz w:val="24"/>
          <w:szCs w:val="24"/>
          <w:lang w:val="en-US" w:eastAsia="zh-CN"/>
        </w:rPr>
        <w:t>首先进行归一化</w:t>
      </w:r>
      <w:r>
        <w:rPr>
          <w:rFonts w:hint="eastAsia" w:cs="Times New Roman"/>
          <w:sz w:val="24"/>
          <w:szCs w:val="24"/>
          <w:lang w:eastAsia="zh-CN"/>
        </w:rPr>
        <w:t>（</w:t>
      </w:r>
      <w:r>
        <w:rPr>
          <w:rFonts w:hint="eastAsia" w:cs="Times New Roman"/>
          <w:sz w:val="24"/>
          <w:szCs w:val="24"/>
          <w:lang w:val="en-US" w:eastAsia="zh-CN"/>
        </w:rPr>
        <w:t>Z-score</w:t>
      </w:r>
      <w:r>
        <w:rPr>
          <w:rFonts w:hint="eastAsia" w:cs="Times New Roman"/>
          <w:sz w:val="24"/>
          <w:szCs w:val="24"/>
          <w:lang w:eastAsia="zh-CN"/>
        </w:rPr>
        <w:t>），</w:t>
      </w:r>
      <w:r>
        <w:rPr>
          <w:rFonts w:hint="eastAsia" w:cs="Times New Roman"/>
          <w:sz w:val="24"/>
          <w:szCs w:val="24"/>
          <w:lang w:val="en-US" w:eastAsia="zh-CN"/>
        </w:rPr>
        <w:t>然后使用</w:t>
      </w:r>
      <w:r>
        <w:rPr>
          <w:rFonts w:ascii="Times New Roman" w:hAnsi="Times New Roman" w:eastAsia="宋体" w:cs="Times New Roman"/>
          <w:sz w:val="24"/>
          <w:szCs w:val="24"/>
        </w:rPr>
        <w:t>主成分分析（PCA）将多个细粒度指标合成为一个综合质量得分。</w:t>
      </w:r>
    </w:p>
    <w:p w14:paraId="043EF231">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表4-1定义“质量”维度的主成分及其核心含义</w:t>
      </w:r>
    </w:p>
    <w:tbl>
      <w:tblPr>
        <w:tblStyle w:val="11"/>
        <w:tblW w:w="9637" w:type="dxa"/>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831"/>
        <w:gridCol w:w="2787"/>
        <w:gridCol w:w="988"/>
        <w:gridCol w:w="5031"/>
      </w:tblGrid>
      <w:tr w14:paraId="0E00FE3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192" w:hRule="atLeast"/>
          <w:tblCellSpacing w:w="0" w:type="dxa"/>
          <w:jc w:val="center"/>
        </w:trPr>
        <w:tc>
          <w:tcPr>
            <w:tcW w:w="831" w:type="dxa"/>
            <w:tcBorders>
              <w:bottom w:val="single" w:color="auto" w:sz="8" w:space="0"/>
            </w:tcBorders>
            <w:vAlign w:val="center"/>
          </w:tcPr>
          <w:p w14:paraId="10C1C022">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任务类型</w:t>
            </w:r>
          </w:p>
        </w:tc>
        <w:tc>
          <w:tcPr>
            <w:tcW w:w="2787" w:type="dxa"/>
            <w:tcBorders>
              <w:bottom w:val="single" w:color="auto" w:sz="8" w:space="0"/>
            </w:tcBorders>
            <w:vAlign w:val="center"/>
          </w:tcPr>
          <w:p w14:paraId="34810E69">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综合质量得分来源</w:t>
            </w:r>
          </w:p>
        </w:tc>
        <w:tc>
          <w:tcPr>
            <w:tcW w:w="988" w:type="dxa"/>
            <w:tcBorders>
              <w:bottom w:val="single" w:color="auto" w:sz="8" w:space="0"/>
            </w:tcBorders>
            <w:vAlign w:val="center"/>
          </w:tcPr>
          <w:p w14:paraId="05AA37D4">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累积解释方差</w:t>
            </w:r>
          </w:p>
        </w:tc>
        <w:tc>
          <w:tcPr>
            <w:tcW w:w="5031" w:type="dxa"/>
            <w:tcBorders>
              <w:bottom w:val="single" w:color="auto" w:sz="8" w:space="0"/>
            </w:tcBorders>
            <w:vAlign w:val="center"/>
          </w:tcPr>
          <w:p w14:paraId="518DB4D5">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核心主成分含义（载荷最高的指标）</w:t>
            </w:r>
          </w:p>
        </w:tc>
      </w:tr>
      <w:tr w14:paraId="6361647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435" w:hRule="atLeast"/>
          <w:tblCellSpacing w:w="0" w:type="dxa"/>
          <w:jc w:val="center"/>
        </w:trPr>
        <w:tc>
          <w:tcPr>
            <w:tcW w:w="831" w:type="dxa"/>
            <w:tcBorders>
              <w:tl2br w:val="nil"/>
              <w:tr2bl w:val="nil"/>
            </w:tcBorders>
            <w:vAlign w:val="center"/>
          </w:tcPr>
          <w:p w14:paraId="2BBE8C01">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代码</w:t>
            </w:r>
          </w:p>
        </w:tc>
        <w:tc>
          <w:tcPr>
            <w:tcW w:w="2787" w:type="dxa"/>
            <w:tcBorders>
              <w:tl2br w:val="nil"/>
              <w:tr2bl w:val="nil"/>
            </w:tcBorders>
            <w:vAlign w:val="center"/>
          </w:tcPr>
          <w:p w14:paraId="78C6145A">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(50.0%) + PC2 (27.7%) + PC3 (11.5%)</w:t>
            </w:r>
          </w:p>
        </w:tc>
        <w:tc>
          <w:tcPr>
            <w:tcW w:w="988" w:type="dxa"/>
            <w:tcBorders>
              <w:tl2br w:val="nil"/>
              <w:tr2bl w:val="nil"/>
            </w:tcBorders>
            <w:vAlign w:val="center"/>
          </w:tcPr>
          <w:p w14:paraId="310BCD3F">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89.2%</w:t>
            </w:r>
          </w:p>
        </w:tc>
        <w:tc>
          <w:tcPr>
            <w:tcW w:w="5031" w:type="dxa"/>
            <w:tcBorders>
              <w:tl2br w:val="nil"/>
              <w:tr2bl w:val="nil"/>
            </w:tcBorders>
            <w:vAlign w:val="center"/>
          </w:tcPr>
          <w:p w14:paraId="7759BB64">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(功能性)：测试通过率 (+)、编译成功率 (+)</w:t>
            </w:r>
          </w:p>
          <w:p w14:paraId="1AC6DD19">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(复杂性)：圈复杂度 (+)、代码长度 (+)</w:t>
            </w:r>
          </w:p>
          <w:p w14:paraId="17B5B76D">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(结构)：圈复杂度 (+)、测试总数 (-)</w:t>
            </w:r>
          </w:p>
        </w:tc>
      </w:tr>
      <w:tr w14:paraId="5CCCEF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313" w:hRule="atLeast"/>
          <w:tblCellSpacing w:w="0" w:type="dxa"/>
          <w:jc w:val="center"/>
        </w:trPr>
        <w:tc>
          <w:tcPr>
            <w:tcW w:w="831" w:type="dxa"/>
            <w:tcBorders>
              <w:tl2br w:val="nil"/>
              <w:tr2bl w:val="nil"/>
            </w:tcBorders>
            <w:vAlign w:val="center"/>
          </w:tcPr>
          <w:p w14:paraId="677A3348">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创意写作</w:t>
            </w:r>
          </w:p>
        </w:tc>
        <w:tc>
          <w:tcPr>
            <w:tcW w:w="2787" w:type="dxa"/>
            <w:tcBorders>
              <w:tl2br w:val="nil"/>
              <w:tr2bl w:val="nil"/>
            </w:tcBorders>
            <w:vAlign w:val="center"/>
          </w:tcPr>
          <w:p w14:paraId="0310FCB0">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(63.8%) + PC2 (24.2%)</w:t>
            </w:r>
          </w:p>
        </w:tc>
        <w:tc>
          <w:tcPr>
            <w:tcW w:w="988" w:type="dxa"/>
            <w:tcBorders>
              <w:tl2br w:val="nil"/>
              <w:tr2bl w:val="nil"/>
            </w:tcBorders>
            <w:vAlign w:val="center"/>
          </w:tcPr>
          <w:p w14:paraId="78815934">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88.0%</w:t>
            </w:r>
          </w:p>
        </w:tc>
        <w:tc>
          <w:tcPr>
            <w:tcW w:w="5031" w:type="dxa"/>
            <w:tcBorders>
              <w:tl2br w:val="nil"/>
              <w:tr2bl w:val="nil"/>
            </w:tcBorders>
            <w:vAlign w:val="center"/>
          </w:tcPr>
          <w:p w14:paraId="765E4F77">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(文本丰富度)：修辞手法数量 (+)、文本长度 (+)</w:t>
            </w:r>
          </w:p>
          <w:p w14:paraId="42D765DB">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(词汇多样性)：Distinct-2 (+)、Distinct-1 (+)</w:t>
            </w:r>
          </w:p>
        </w:tc>
      </w:tr>
      <w:tr w14:paraId="266F14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374" w:hRule="atLeast"/>
          <w:tblCellSpacing w:w="0" w:type="dxa"/>
          <w:jc w:val="center"/>
        </w:trPr>
        <w:tc>
          <w:tcPr>
            <w:tcW w:w="831" w:type="dxa"/>
            <w:tcBorders>
              <w:tl2br w:val="nil"/>
              <w:tr2bl w:val="nil"/>
            </w:tcBorders>
            <w:vAlign w:val="center"/>
          </w:tcPr>
          <w:p w14:paraId="7F3D2353">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数学</w:t>
            </w:r>
          </w:p>
        </w:tc>
        <w:tc>
          <w:tcPr>
            <w:tcW w:w="2787" w:type="dxa"/>
            <w:tcBorders>
              <w:tl2br w:val="nil"/>
              <w:tr2bl w:val="nil"/>
            </w:tcBorders>
            <w:vAlign w:val="center"/>
          </w:tcPr>
          <w:p w14:paraId="1AEAB78C">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(39.3%) + PC2 (28.1%) + PC3 (14.9%) + PC4 (8.7%)</w:t>
            </w:r>
          </w:p>
        </w:tc>
        <w:tc>
          <w:tcPr>
            <w:tcW w:w="988" w:type="dxa"/>
            <w:tcBorders>
              <w:tl2br w:val="nil"/>
              <w:tr2bl w:val="nil"/>
            </w:tcBorders>
            <w:vAlign w:val="center"/>
          </w:tcPr>
          <w:p w14:paraId="3597D6BC">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91.0%</w:t>
            </w:r>
          </w:p>
        </w:tc>
        <w:tc>
          <w:tcPr>
            <w:tcW w:w="5031" w:type="dxa"/>
            <w:tcBorders>
              <w:tl2br w:val="nil"/>
              <w:tr2bl w:val="nil"/>
            </w:tcBorders>
            <w:vAlign w:val="center"/>
          </w:tcPr>
          <w:p w14:paraId="649631CE">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(解题过程完整性)：步骤数 (+)、提取置信度 (+)</w:t>
            </w:r>
          </w:p>
          <w:p w14:paraId="206E89B6">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(答案正确性)：精确匹配 (+)、数值匹配 (+)</w:t>
            </w:r>
          </w:p>
          <w:p w14:paraId="54ABEC1A">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(答案存在性)：包含答案 (+)</w:t>
            </w:r>
          </w:p>
        </w:tc>
      </w:tr>
      <w:tr w14:paraId="0D50D2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435" w:hRule="atLeast"/>
          <w:tblCellSpacing w:w="0" w:type="dxa"/>
          <w:jc w:val="center"/>
        </w:trPr>
        <w:tc>
          <w:tcPr>
            <w:tcW w:w="831" w:type="dxa"/>
            <w:tcBorders>
              <w:tl2br w:val="nil"/>
              <w:tr2bl w:val="nil"/>
            </w:tcBorders>
            <w:vAlign w:val="center"/>
          </w:tcPr>
          <w:p w14:paraId="557B2674">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问答</w:t>
            </w:r>
          </w:p>
        </w:tc>
        <w:tc>
          <w:tcPr>
            <w:tcW w:w="2787" w:type="dxa"/>
            <w:tcBorders>
              <w:tl2br w:val="nil"/>
              <w:tr2bl w:val="nil"/>
            </w:tcBorders>
            <w:vAlign w:val="center"/>
          </w:tcPr>
          <w:p w14:paraId="5CABE335">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(40.8%) + PC2 (21.1%) + PC3 (16.3%) + PC4 (11.1%)</w:t>
            </w:r>
          </w:p>
        </w:tc>
        <w:tc>
          <w:tcPr>
            <w:tcW w:w="988" w:type="dxa"/>
            <w:tcBorders>
              <w:tl2br w:val="nil"/>
              <w:tr2bl w:val="nil"/>
            </w:tcBorders>
            <w:vAlign w:val="center"/>
          </w:tcPr>
          <w:p w14:paraId="7420134D">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89.4%</w:t>
            </w:r>
          </w:p>
        </w:tc>
        <w:tc>
          <w:tcPr>
            <w:tcW w:w="5031" w:type="dxa"/>
            <w:tcBorders>
              <w:tl2br w:val="nil"/>
              <w:tr2bl w:val="nil"/>
            </w:tcBorders>
            <w:vAlign w:val="center"/>
          </w:tcPr>
          <w:p w14:paraId="5E5443DB">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(回答详尽性)：推理步骤 (+)、回答长度 (+)</w:t>
            </w:r>
          </w:p>
          <w:p w14:paraId="590284FB">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(结构化程度)：包含示例 (+)、段落数 (-)</w:t>
            </w:r>
          </w:p>
          <w:p w14:paraId="7FF4E762">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(术语专业性)：专业术语数 (+)、不确定性 (-)</w:t>
            </w:r>
          </w:p>
        </w:tc>
      </w:tr>
      <w:tr w14:paraId="5FF22E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435" w:hRule="atLeast"/>
          <w:tblCellSpacing w:w="0" w:type="dxa"/>
          <w:jc w:val="center"/>
        </w:trPr>
        <w:tc>
          <w:tcPr>
            <w:tcW w:w="831" w:type="dxa"/>
            <w:tcBorders>
              <w:tl2br w:val="nil"/>
              <w:tr2bl w:val="nil"/>
            </w:tcBorders>
            <w:vAlign w:val="center"/>
          </w:tcPr>
          <w:p w14:paraId="523FD3A2">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推理</w:t>
            </w:r>
          </w:p>
        </w:tc>
        <w:tc>
          <w:tcPr>
            <w:tcW w:w="2787" w:type="dxa"/>
            <w:tcBorders>
              <w:tl2br w:val="nil"/>
              <w:tr2bl w:val="nil"/>
            </w:tcBorders>
            <w:vAlign w:val="center"/>
          </w:tcPr>
          <w:p w14:paraId="42AB43C5">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(60.6%) + PC2 (14.1%) + PC3 (10.9%)</w:t>
            </w:r>
          </w:p>
        </w:tc>
        <w:tc>
          <w:tcPr>
            <w:tcW w:w="988" w:type="dxa"/>
            <w:tcBorders>
              <w:tl2br w:val="nil"/>
              <w:tr2bl w:val="nil"/>
            </w:tcBorders>
            <w:vAlign w:val="center"/>
          </w:tcPr>
          <w:p w14:paraId="7FA664AB">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85.6%</w:t>
            </w:r>
          </w:p>
        </w:tc>
        <w:tc>
          <w:tcPr>
            <w:tcW w:w="5031" w:type="dxa"/>
            <w:tcBorders>
              <w:tl2br w:val="nil"/>
              <w:tr2bl w:val="nil"/>
            </w:tcBorders>
            <w:vAlign w:val="center"/>
          </w:tcPr>
          <w:p w14:paraId="54D7B441">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(逻辑完整性)：完整性得分 (+)、深度得分 (+)</w:t>
            </w:r>
          </w:p>
          <w:p w14:paraId="271B69E8">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(结论正确性)：结论正确 (+)、结论F1得分 (+)</w:t>
            </w:r>
          </w:p>
          <w:p w14:paraId="1212B1A7">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(句式结构)：平均句长 (+)、连接词密度 (-)</w:t>
            </w:r>
          </w:p>
        </w:tc>
      </w:tr>
      <w:tr w14:paraId="68C545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375" w:hRule="atLeast"/>
          <w:tblCellSpacing w:w="0" w:type="dxa"/>
          <w:jc w:val="center"/>
        </w:trPr>
        <w:tc>
          <w:tcPr>
            <w:tcW w:w="831" w:type="dxa"/>
            <w:tcBorders>
              <w:tl2br w:val="nil"/>
              <w:tr2bl w:val="nil"/>
            </w:tcBorders>
            <w:vAlign w:val="center"/>
          </w:tcPr>
          <w:p w14:paraId="393FF6FE">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摘要</w:t>
            </w:r>
          </w:p>
        </w:tc>
        <w:tc>
          <w:tcPr>
            <w:tcW w:w="2787" w:type="dxa"/>
            <w:tcBorders>
              <w:tl2br w:val="nil"/>
              <w:tr2bl w:val="nil"/>
            </w:tcBorders>
            <w:vAlign w:val="center"/>
          </w:tcPr>
          <w:p w14:paraId="49507838">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(57.5%) + PC2 (20.4%) + PC3 (8.5%)</w:t>
            </w:r>
          </w:p>
        </w:tc>
        <w:tc>
          <w:tcPr>
            <w:tcW w:w="988" w:type="dxa"/>
            <w:tcBorders>
              <w:tl2br w:val="nil"/>
              <w:tr2bl w:val="nil"/>
            </w:tcBorders>
            <w:vAlign w:val="center"/>
          </w:tcPr>
          <w:p w14:paraId="5B296515">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86.4%</w:t>
            </w:r>
          </w:p>
        </w:tc>
        <w:tc>
          <w:tcPr>
            <w:tcW w:w="5031" w:type="dxa"/>
            <w:tcBorders>
              <w:tl2br w:val="nil"/>
              <w:tr2bl w:val="nil"/>
            </w:tcBorders>
            <w:vAlign w:val="center"/>
          </w:tcPr>
          <w:p w14:paraId="57F15C72">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(内容重合度)：ROUGE-L F1 (+)、ROUGE-1 F1 (+)</w:t>
            </w:r>
          </w:p>
          <w:p w14:paraId="14DA42EE">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(语义相似度)：BERTScore F1 (+)</w:t>
            </w:r>
          </w:p>
          <w:p w14:paraId="120E7257">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(合规性与压缩)：合规性得分 (+)、压缩比 (-)</w:t>
            </w:r>
          </w:p>
        </w:tc>
      </w:tr>
      <w:tr w14:paraId="6C6CB9F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193" w:hRule="atLeast"/>
          <w:tblCellSpacing w:w="0" w:type="dxa"/>
          <w:jc w:val="center"/>
        </w:trPr>
        <w:tc>
          <w:tcPr>
            <w:tcW w:w="831" w:type="dxa"/>
            <w:tcBorders>
              <w:tl2br w:val="nil"/>
              <w:tr2bl w:val="nil"/>
            </w:tcBorders>
            <w:vAlign w:val="center"/>
          </w:tcPr>
          <w:p w14:paraId="5C612D66">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翻译</w:t>
            </w:r>
          </w:p>
        </w:tc>
        <w:tc>
          <w:tcPr>
            <w:tcW w:w="2787" w:type="dxa"/>
            <w:tcBorders>
              <w:tl2br w:val="nil"/>
              <w:tr2bl w:val="nil"/>
            </w:tcBorders>
            <w:vAlign w:val="center"/>
          </w:tcPr>
          <w:p w14:paraId="552CEBB3">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(86.6%)</w:t>
            </w:r>
          </w:p>
        </w:tc>
        <w:tc>
          <w:tcPr>
            <w:tcW w:w="988" w:type="dxa"/>
            <w:tcBorders>
              <w:tl2br w:val="nil"/>
              <w:tr2bl w:val="nil"/>
            </w:tcBorders>
            <w:vAlign w:val="center"/>
          </w:tcPr>
          <w:p w14:paraId="3F707EE6">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86.6%</w:t>
            </w:r>
          </w:p>
        </w:tc>
        <w:tc>
          <w:tcPr>
            <w:tcW w:w="5031" w:type="dxa"/>
            <w:tcBorders>
              <w:tl2br w:val="nil"/>
              <w:tr2bl w:val="nil"/>
            </w:tcBorders>
            <w:vAlign w:val="center"/>
          </w:tcPr>
          <w:p w14:paraId="6CEB7689">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(翻译准确性)：BLEU-4 (+)、BLEU-2 (+)、BERTScore F1 (+)</w:t>
            </w:r>
          </w:p>
        </w:tc>
      </w:tr>
    </w:tbl>
    <w:p w14:paraId="09276A2B">
      <w:pPr>
        <w:pStyle w:val="4"/>
        <w:shd w:val="clear"/>
        <w:bidi w:val="0"/>
      </w:pPr>
      <w:bookmarkStart w:id="0" w:name="bm_4_2_分任务帕累托前沿分析"/>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AE6B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FA36B9">
            <w:pPr>
              <w:shd w:val="clear"/>
              <w:rPr>
                <w:rFonts w:hint="eastAsia" w:eastAsia="宋体"/>
                <w:vertAlign w:val="baseline"/>
                <w:lang w:eastAsia="zh-CN"/>
              </w:rPr>
            </w:pPr>
            <w:r>
              <w:rPr>
                <w:rFonts w:hint="eastAsia" w:eastAsia="宋体"/>
                <w:vertAlign w:val="baseline"/>
                <w:lang w:eastAsia="zh-CN"/>
              </w:rPr>
              <w:drawing>
                <wp:inline distT="0" distB="0" distL="114300" distR="114300">
                  <wp:extent cx="1405255" cy="1175385"/>
                  <wp:effectExtent l="0" t="0" r="4445" b="5715"/>
                  <wp:docPr id="1" name="图片 1" descr="pca_bi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ca_biplot"/>
                          <pic:cNvPicPr>
                            <a:picLocks noChangeAspect="1"/>
                          </pic:cNvPicPr>
                        </pic:nvPicPr>
                        <pic:blipFill>
                          <a:blip r:embed="rId6"/>
                          <a:stretch>
                            <a:fillRect/>
                          </a:stretch>
                        </pic:blipFill>
                        <pic:spPr>
                          <a:xfrm>
                            <a:off x="0" y="0"/>
                            <a:ext cx="1405255" cy="1175385"/>
                          </a:xfrm>
                          <a:prstGeom prst="rect">
                            <a:avLst/>
                          </a:prstGeom>
                        </pic:spPr>
                      </pic:pic>
                    </a:graphicData>
                  </a:graphic>
                </wp:inline>
              </w:drawing>
            </w:r>
            <w:r>
              <w:rPr>
                <w:rFonts w:hint="eastAsia" w:eastAsia="宋体"/>
                <w:vertAlign w:val="baseline"/>
                <w:lang w:eastAsia="zh-CN"/>
              </w:rPr>
              <w:drawing>
                <wp:inline distT="0" distB="0" distL="114300" distR="114300">
                  <wp:extent cx="1882140" cy="1163320"/>
                  <wp:effectExtent l="0" t="0" r="10160" b="5080"/>
                  <wp:docPr id="2" name="图片 2" descr="pca_loadings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ca_loadings_heatmap"/>
                          <pic:cNvPicPr>
                            <a:picLocks noChangeAspect="1"/>
                          </pic:cNvPicPr>
                        </pic:nvPicPr>
                        <pic:blipFill>
                          <a:blip r:embed="rId7"/>
                          <a:stretch>
                            <a:fillRect/>
                          </a:stretch>
                        </pic:blipFill>
                        <pic:spPr>
                          <a:xfrm>
                            <a:off x="0" y="0"/>
                            <a:ext cx="1882140" cy="1163320"/>
                          </a:xfrm>
                          <a:prstGeom prst="rect">
                            <a:avLst/>
                          </a:prstGeom>
                        </pic:spPr>
                      </pic:pic>
                    </a:graphicData>
                  </a:graphic>
                </wp:inline>
              </w:drawing>
            </w:r>
            <w:r>
              <w:rPr>
                <w:rFonts w:hint="eastAsia" w:eastAsia="宋体"/>
                <w:vertAlign w:val="baseline"/>
                <w:lang w:eastAsia="zh-CN"/>
              </w:rPr>
              <w:drawing>
                <wp:inline distT="0" distB="0" distL="114300" distR="114300">
                  <wp:extent cx="1920240" cy="1144905"/>
                  <wp:effectExtent l="0" t="0" r="10160" b="10795"/>
                  <wp:docPr id="3" name="图片 3" descr="pca_scree_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pca_scree_plot"/>
                          <pic:cNvPicPr>
                            <a:picLocks noChangeAspect="1"/>
                          </pic:cNvPicPr>
                        </pic:nvPicPr>
                        <pic:blipFill>
                          <a:blip r:embed="rId8"/>
                          <a:stretch>
                            <a:fillRect/>
                          </a:stretch>
                        </pic:blipFill>
                        <pic:spPr>
                          <a:xfrm>
                            <a:off x="0" y="0"/>
                            <a:ext cx="1920240" cy="1144905"/>
                          </a:xfrm>
                          <a:prstGeom prst="rect">
                            <a:avLst/>
                          </a:prstGeom>
                        </pic:spPr>
                      </pic:pic>
                    </a:graphicData>
                  </a:graphic>
                </wp:inline>
              </w:drawing>
            </w:r>
          </w:p>
        </w:tc>
      </w:tr>
      <w:tr w14:paraId="2A147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E064DC">
            <w:pPr>
              <w:shd w:val="clear"/>
              <w:rPr>
                <w:rFonts w:hint="eastAsia" w:eastAsia="宋体"/>
                <w:vertAlign w:val="baseline"/>
                <w:lang w:eastAsia="zh-CN"/>
              </w:rPr>
            </w:pPr>
            <w:r>
              <w:rPr>
                <w:rFonts w:hint="eastAsia" w:eastAsia="宋体"/>
                <w:vertAlign w:val="baseline"/>
                <w:lang w:eastAsia="zh-CN"/>
              </w:rPr>
              <w:drawing>
                <wp:inline distT="0" distB="0" distL="114300" distR="114300">
                  <wp:extent cx="5271770" cy="1718945"/>
                  <wp:effectExtent l="0" t="0" r="11430" b="8255"/>
                  <wp:docPr id="4" name="图片 4" descr="pca_component_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ca_component_scores"/>
                          <pic:cNvPicPr>
                            <a:picLocks noChangeAspect="1"/>
                          </pic:cNvPicPr>
                        </pic:nvPicPr>
                        <pic:blipFill>
                          <a:blip r:embed="rId9"/>
                          <a:stretch>
                            <a:fillRect/>
                          </a:stretch>
                        </pic:blipFill>
                        <pic:spPr>
                          <a:xfrm>
                            <a:off x="0" y="0"/>
                            <a:ext cx="5271770" cy="1718945"/>
                          </a:xfrm>
                          <a:prstGeom prst="rect">
                            <a:avLst/>
                          </a:prstGeom>
                        </pic:spPr>
                      </pic:pic>
                    </a:graphicData>
                  </a:graphic>
                </wp:inline>
              </w:drawing>
            </w:r>
          </w:p>
        </w:tc>
      </w:tr>
      <w:tr w14:paraId="21E77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8F7594">
            <w:pPr>
              <w:shd w:val="clear"/>
              <w:rPr>
                <w:vertAlign w:val="baseline"/>
              </w:rPr>
            </w:pPr>
          </w:p>
        </w:tc>
      </w:tr>
    </w:tbl>
    <w:p w14:paraId="08B2CB18">
      <w:pPr>
        <w:shd w:val="clear"/>
      </w:pPr>
    </w:p>
    <w:p w14:paraId="0D760736">
      <w:pPr>
        <w:pStyle w:val="4"/>
        <w:shd w:val="clear"/>
        <w:bidi w:val="0"/>
      </w:pPr>
      <w:r>
        <w:t>4.2</w:t>
      </w:r>
      <w:r>
        <w:rPr>
          <w:rFonts w:hint="eastAsia"/>
          <w:lang w:val="en-US" w:eastAsia="zh-CN"/>
        </w:rPr>
        <w:t>.2</w:t>
      </w:r>
      <w:r>
        <w:t xml:space="preserve"> </w:t>
      </w:r>
      <w:r>
        <w:rPr>
          <w:rFonts w:hint="eastAsia"/>
          <w:lang w:val="en-US" w:eastAsia="zh-CN"/>
        </w:rPr>
        <w:t>各</w:t>
      </w:r>
      <w:r>
        <w:t>任务帕累托前沿分析</w:t>
      </w:r>
      <w:bookmarkEnd w:id="0"/>
    </w:p>
    <w:p w14:paraId="0D1F710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为深入探究不同任务需求下模型在质量、能耗与速度三个目标之间的权衡关系，我们对七个典型的自然语言处理任务分别进行了帕累托前沿分析。每个任务采用各自领域公认的质量指标：代码生成使用编译成功率（经z分数标准化）、创意写作使用Distinct-2、数学推理使用准确率、问答使用F1分数、推理任务使用推理准确率、摘要使用ROUGE-L、翻译使用BLEU。能耗统一以每token消耗的焦耳（J/token）度量，速度以每秒生成的token数（tokens/s）度量。所有质量指标均经过标准化处理，以便跨模型比较，但不同任务之间的质量值因原始分布不同而不宜直接比较。</w:t>
      </w:r>
    </w:p>
    <w:p w14:paraId="37A797DD">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表1汇总了各任务的三维帕累托前沿模型及其性能参数，同时列出了各任务在质量-能耗二维前沿上的超体积、间距指标以及通过拐点分析识别出的最佳权衡模型（拐点模型）。超体积反映了前沿所覆盖的权衡空间大小，间距指标衡量前沿分布的均匀性（值越小越均匀）。</w:t>
      </w:r>
    </w:p>
    <w:p w14:paraId="4871134F">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表1 各任务三维帕累托前沿及质量-能耗前沿指标</w:t>
      </w:r>
    </w:p>
    <w:tbl>
      <w:tblPr>
        <w:tblStyle w:val="11"/>
        <w:tblW w:w="9249" w:type="dxa"/>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1134"/>
        <w:gridCol w:w="3950"/>
        <w:gridCol w:w="2116"/>
        <w:gridCol w:w="1123"/>
        <w:gridCol w:w="926"/>
      </w:tblGrid>
      <w:tr w14:paraId="3853435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51F22451">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任务类型</w:t>
            </w:r>
          </w:p>
        </w:tc>
        <w:tc>
          <w:tcPr>
            <w:tcW w:w="3950" w:type="dxa"/>
            <w:tcBorders>
              <w:tl2br w:val="nil"/>
              <w:tr2bl w:val="nil"/>
            </w:tcBorders>
            <w:vAlign w:val="center"/>
          </w:tcPr>
          <w:p w14:paraId="26A1B6ED">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三维前沿模型</w:t>
            </w:r>
          </w:p>
          <w:p w14:paraId="55AE219A">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(质量, 能耗 J/token, 速度 tokens/s)</w:t>
            </w:r>
          </w:p>
        </w:tc>
        <w:tc>
          <w:tcPr>
            <w:tcW w:w="2116" w:type="dxa"/>
            <w:tcBorders>
              <w:tl2br w:val="nil"/>
              <w:tr2bl w:val="nil"/>
            </w:tcBorders>
            <w:vAlign w:val="center"/>
          </w:tcPr>
          <w:p w14:paraId="43F67FA8">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拐点模型</w:t>
            </w:r>
          </w:p>
        </w:tc>
        <w:tc>
          <w:tcPr>
            <w:tcW w:w="1123" w:type="dxa"/>
            <w:tcBorders>
              <w:tl2br w:val="nil"/>
              <w:tr2bl w:val="nil"/>
            </w:tcBorders>
            <w:vAlign w:val="center"/>
          </w:tcPr>
          <w:p w14:paraId="11E916AA">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超体积</w:t>
            </w:r>
          </w:p>
          <w:p w14:paraId="09498C9E">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(质量-能耗)</w:t>
            </w:r>
          </w:p>
        </w:tc>
        <w:tc>
          <w:tcPr>
            <w:tcW w:w="926" w:type="dxa"/>
            <w:tcBorders>
              <w:tl2br w:val="nil"/>
              <w:tr2bl w:val="nil"/>
            </w:tcBorders>
            <w:vAlign w:val="center"/>
          </w:tcPr>
          <w:p w14:paraId="27B3761D">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间距</w:t>
            </w:r>
          </w:p>
        </w:tc>
      </w:tr>
      <w:tr w14:paraId="15F5CB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42ED43A9">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代码生成</w:t>
            </w:r>
          </w:p>
        </w:tc>
        <w:tc>
          <w:tcPr>
            <w:tcW w:w="3950" w:type="dxa"/>
            <w:tcBorders>
              <w:tl2br w:val="nil"/>
              <w:tr2bl w:val="nil"/>
            </w:tcBorders>
            <w:vAlign w:val="center"/>
          </w:tcPr>
          <w:p w14:paraId="51F46FA9">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 (2.181, 1.392, 40.20)</w:t>
            </w:r>
          </w:p>
          <w:p w14:paraId="4DE7AD51">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(0.201, 1.974, 41.08)</w:t>
            </w:r>
          </w:p>
          <w:p w14:paraId="64293DEC">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qwen_8b_ol_q4km (-0.042, 1.999, 41.13)</w:t>
            </w:r>
          </w:p>
        </w:tc>
        <w:tc>
          <w:tcPr>
            <w:tcW w:w="2116" w:type="dxa"/>
            <w:tcBorders>
              <w:tl2br w:val="nil"/>
              <w:tr2bl w:val="nil"/>
            </w:tcBorders>
            <w:vAlign w:val="center"/>
          </w:tcPr>
          <w:p w14:paraId="0811D3F9">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w:t>
            </w:r>
          </w:p>
        </w:tc>
        <w:tc>
          <w:tcPr>
            <w:tcW w:w="1123" w:type="dxa"/>
            <w:tcBorders>
              <w:tl2br w:val="nil"/>
              <w:tr2bl w:val="nil"/>
            </w:tcBorders>
            <w:vAlign w:val="center"/>
          </w:tcPr>
          <w:p w14:paraId="2ED591DA">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1.0000</w:t>
            </w:r>
          </w:p>
        </w:tc>
        <w:tc>
          <w:tcPr>
            <w:tcW w:w="926" w:type="dxa"/>
            <w:tcBorders>
              <w:tl2br w:val="nil"/>
              <w:tr2bl w:val="nil"/>
            </w:tcBorders>
            <w:vAlign w:val="center"/>
          </w:tcPr>
          <w:p w14:paraId="4B029110">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0.0000</w:t>
            </w:r>
          </w:p>
        </w:tc>
      </w:tr>
      <w:tr w14:paraId="7F4EDC3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7B7EA1CE">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创意写作</w:t>
            </w:r>
          </w:p>
        </w:tc>
        <w:tc>
          <w:tcPr>
            <w:tcW w:w="3950" w:type="dxa"/>
            <w:tcBorders>
              <w:tl2br w:val="nil"/>
              <w:tr2bl w:val="nil"/>
            </w:tcBorders>
            <w:vAlign w:val="center"/>
          </w:tcPr>
          <w:p w14:paraId="4D534BF6">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qwen25_7b_hf_4bit (3.578, 3.154, 19.06)</w:t>
            </w:r>
          </w:p>
          <w:p w14:paraId="28448115">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 (3.305, 1.554, 17.65)</w:t>
            </w:r>
          </w:p>
          <w:p w14:paraId="067A1163">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qwen_4b_ol_q4km (1.732, 1.083, 65.75)</w:t>
            </w:r>
          </w:p>
        </w:tc>
        <w:tc>
          <w:tcPr>
            <w:tcW w:w="2116" w:type="dxa"/>
            <w:tcBorders>
              <w:tl2br w:val="nil"/>
              <w:tr2bl w:val="nil"/>
            </w:tcBorders>
            <w:vAlign w:val="center"/>
          </w:tcPr>
          <w:p w14:paraId="462A916B">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w:t>
            </w:r>
          </w:p>
        </w:tc>
        <w:tc>
          <w:tcPr>
            <w:tcW w:w="1123" w:type="dxa"/>
            <w:tcBorders>
              <w:tl2br w:val="nil"/>
              <w:tr2bl w:val="nil"/>
            </w:tcBorders>
            <w:vAlign w:val="center"/>
          </w:tcPr>
          <w:p w14:paraId="680FBCEE">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0.9707</w:t>
            </w:r>
          </w:p>
        </w:tc>
        <w:tc>
          <w:tcPr>
            <w:tcW w:w="926" w:type="dxa"/>
            <w:tcBorders>
              <w:tl2br w:val="nil"/>
              <w:tr2bl w:val="nil"/>
            </w:tcBorders>
            <w:vAlign w:val="center"/>
          </w:tcPr>
          <w:p w14:paraId="4FCC8AE9">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0.0438</w:t>
            </w:r>
          </w:p>
        </w:tc>
      </w:tr>
      <w:tr w14:paraId="7853E8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591DE4C1">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数学推理</w:t>
            </w:r>
          </w:p>
        </w:tc>
        <w:tc>
          <w:tcPr>
            <w:tcW w:w="3950" w:type="dxa"/>
            <w:tcBorders>
              <w:tl2br w:val="nil"/>
              <w:tr2bl w:val="nil"/>
            </w:tcBorders>
            <w:vAlign w:val="center"/>
          </w:tcPr>
          <w:p w14:paraId="2497AD8E">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 (1.427, 1.563, 17.73)</w:t>
            </w:r>
          </w:p>
          <w:p w14:paraId="7B9FFB2A">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qwen_8b_ol_q4km (0.828, 1.939, 40.92)</w:t>
            </w:r>
          </w:p>
          <w:p w14:paraId="7D635FA5">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(0.443, 1.936, 40.84)</w:t>
            </w:r>
          </w:p>
          <w:p w14:paraId="2B810DD9">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 (0.087, 1.261, 49.55)</w:t>
            </w:r>
          </w:p>
          <w:p w14:paraId="5972E487">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qwen_4b_ol_q4km (-0.284, 1.049, 64.66)</w:t>
            </w:r>
          </w:p>
        </w:tc>
        <w:tc>
          <w:tcPr>
            <w:tcW w:w="2116" w:type="dxa"/>
            <w:tcBorders>
              <w:tl2br w:val="nil"/>
              <w:tr2bl w:val="nil"/>
            </w:tcBorders>
            <w:vAlign w:val="center"/>
          </w:tcPr>
          <w:p w14:paraId="4EFC134C">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w:t>
            </w:r>
          </w:p>
        </w:tc>
        <w:tc>
          <w:tcPr>
            <w:tcW w:w="1123" w:type="dxa"/>
            <w:tcBorders>
              <w:tl2br w:val="nil"/>
              <w:tr2bl w:val="nil"/>
            </w:tcBorders>
            <w:vAlign w:val="center"/>
          </w:tcPr>
          <w:p w14:paraId="2EB81A06">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0.8863</w:t>
            </w:r>
          </w:p>
        </w:tc>
        <w:tc>
          <w:tcPr>
            <w:tcW w:w="926" w:type="dxa"/>
            <w:tcBorders>
              <w:tl2br w:val="nil"/>
              <w:tr2bl w:val="nil"/>
            </w:tcBorders>
            <w:vAlign w:val="center"/>
          </w:tcPr>
          <w:p w14:paraId="14A4E49C">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0.1339</w:t>
            </w:r>
          </w:p>
        </w:tc>
      </w:tr>
      <w:tr w14:paraId="0BE18B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3F993913">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问答</w:t>
            </w:r>
          </w:p>
        </w:tc>
        <w:tc>
          <w:tcPr>
            <w:tcW w:w="3950" w:type="dxa"/>
            <w:tcBorders>
              <w:tl2br w:val="nil"/>
              <w:tr2bl w:val="nil"/>
            </w:tcBorders>
            <w:vAlign w:val="center"/>
          </w:tcPr>
          <w:p w14:paraId="71D337C9">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(1.538, 1.895, 38.22)</w:t>
            </w:r>
          </w:p>
          <w:p w14:paraId="00E11304">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qwen_4b_ol_q4km (1.009, 1.030, 57.55)</w:t>
            </w:r>
          </w:p>
        </w:tc>
        <w:tc>
          <w:tcPr>
            <w:tcW w:w="2116" w:type="dxa"/>
            <w:tcBorders>
              <w:tl2br w:val="nil"/>
              <w:tr2bl w:val="nil"/>
            </w:tcBorders>
            <w:vAlign w:val="center"/>
          </w:tcPr>
          <w:p w14:paraId="7C74BF2C">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w:t>
            </w:r>
          </w:p>
        </w:tc>
        <w:tc>
          <w:tcPr>
            <w:tcW w:w="1123" w:type="dxa"/>
            <w:tcBorders>
              <w:tl2br w:val="nil"/>
              <w:tr2bl w:val="nil"/>
            </w:tcBorders>
            <w:vAlign w:val="center"/>
          </w:tcPr>
          <w:p w14:paraId="604B964F">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0.9421</w:t>
            </w:r>
          </w:p>
        </w:tc>
        <w:tc>
          <w:tcPr>
            <w:tcW w:w="926" w:type="dxa"/>
            <w:tcBorders>
              <w:tl2br w:val="nil"/>
              <w:tr2bl w:val="nil"/>
            </w:tcBorders>
            <w:vAlign w:val="center"/>
          </w:tcPr>
          <w:p w14:paraId="1AD8EA84">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0.0000</w:t>
            </w:r>
          </w:p>
        </w:tc>
      </w:tr>
      <w:tr w14:paraId="4A79D9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25FAEB37">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推理</w:t>
            </w:r>
          </w:p>
        </w:tc>
        <w:tc>
          <w:tcPr>
            <w:tcW w:w="3950" w:type="dxa"/>
            <w:tcBorders>
              <w:tl2br w:val="nil"/>
              <w:tr2bl w:val="nil"/>
            </w:tcBorders>
            <w:vAlign w:val="center"/>
          </w:tcPr>
          <w:p w14:paraId="2FD034FA">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 (2.329, 1.580, 16.80)</w:t>
            </w:r>
          </w:p>
          <w:p w14:paraId="1AA2084A">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(1.993, 1.942, 41.25)</w:t>
            </w:r>
          </w:p>
          <w:p w14:paraId="11EBE113">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qwen_4b_ol_q4km (1.912, 1.050, 64.56)</w:t>
            </w:r>
          </w:p>
        </w:tc>
        <w:tc>
          <w:tcPr>
            <w:tcW w:w="2116" w:type="dxa"/>
            <w:tcBorders>
              <w:tl2br w:val="nil"/>
              <w:tr2bl w:val="nil"/>
            </w:tcBorders>
            <w:vAlign w:val="center"/>
          </w:tcPr>
          <w:p w14:paraId="188F4121">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w:t>
            </w:r>
          </w:p>
        </w:tc>
        <w:tc>
          <w:tcPr>
            <w:tcW w:w="1123" w:type="dxa"/>
            <w:tcBorders>
              <w:tl2br w:val="nil"/>
              <w:tr2bl w:val="nil"/>
            </w:tcBorders>
            <w:vAlign w:val="center"/>
          </w:tcPr>
          <w:p w14:paraId="3215AA35">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0.9831</w:t>
            </w:r>
          </w:p>
        </w:tc>
        <w:tc>
          <w:tcPr>
            <w:tcW w:w="926" w:type="dxa"/>
            <w:tcBorders>
              <w:tl2br w:val="nil"/>
              <w:tr2bl w:val="nil"/>
            </w:tcBorders>
            <w:vAlign w:val="center"/>
          </w:tcPr>
          <w:p w14:paraId="4949936D">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0.0000</w:t>
            </w:r>
          </w:p>
        </w:tc>
      </w:tr>
      <w:tr w14:paraId="4BD2DDB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2F9C1CF4">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摘要</w:t>
            </w:r>
          </w:p>
        </w:tc>
        <w:tc>
          <w:tcPr>
            <w:tcW w:w="3950" w:type="dxa"/>
            <w:tcBorders>
              <w:tl2br w:val="nil"/>
              <w:tr2bl w:val="nil"/>
            </w:tcBorders>
            <w:vAlign w:val="center"/>
          </w:tcPr>
          <w:p w14:paraId="4C981E15">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 (5.278, 1.597, 16.22)</w:t>
            </w:r>
          </w:p>
          <w:p w14:paraId="6D0F95EF">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qwen_4b_ol_q4km (0.808, 1.016, 55.42)</w:t>
            </w:r>
          </w:p>
        </w:tc>
        <w:tc>
          <w:tcPr>
            <w:tcW w:w="2116" w:type="dxa"/>
            <w:tcBorders>
              <w:tl2br w:val="nil"/>
              <w:tr2bl w:val="nil"/>
            </w:tcBorders>
            <w:vAlign w:val="center"/>
          </w:tcPr>
          <w:p w14:paraId="659DE886">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w:t>
            </w:r>
          </w:p>
        </w:tc>
        <w:tc>
          <w:tcPr>
            <w:tcW w:w="1123" w:type="dxa"/>
            <w:tcBorders>
              <w:tl2br w:val="nil"/>
              <w:tr2bl w:val="nil"/>
            </w:tcBorders>
            <w:vAlign w:val="center"/>
          </w:tcPr>
          <w:p w14:paraId="15D2F508">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0.8363</w:t>
            </w:r>
          </w:p>
        </w:tc>
        <w:tc>
          <w:tcPr>
            <w:tcW w:w="926" w:type="dxa"/>
            <w:tcBorders>
              <w:tl2br w:val="nil"/>
              <w:tr2bl w:val="nil"/>
            </w:tcBorders>
            <w:vAlign w:val="center"/>
          </w:tcPr>
          <w:p w14:paraId="0A5A60E9">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0.0000</w:t>
            </w:r>
          </w:p>
        </w:tc>
      </w:tr>
      <w:tr w14:paraId="41D98CF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64AC3E1B">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翻译</w:t>
            </w:r>
          </w:p>
        </w:tc>
        <w:tc>
          <w:tcPr>
            <w:tcW w:w="3950" w:type="dxa"/>
            <w:tcBorders>
              <w:tl2br w:val="nil"/>
              <w:tr2bl w:val="nil"/>
            </w:tcBorders>
            <w:vAlign w:val="center"/>
          </w:tcPr>
          <w:p w14:paraId="30454207">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(8.105, 1.883, 37.48)</w:t>
            </w:r>
          </w:p>
          <w:p w14:paraId="29403EE2">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phi3_4b_hf_4bit (0.748, 1.621, 20.61)</w:t>
            </w:r>
          </w:p>
          <w:p w14:paraId="6B2B8730">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gemma_2b_hf_4bit (-0.780, 1.227, 21.96)</w:t>
            </w:r>
          </w:p>
          <w:p w14:paraId="2119EB40">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 (-1.116, 1.261, 48.94)</w:t>
            </w:r>
          </w:p>
          <w:p w14:paraId="5596D810">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qwen_4b_ol_q4km (-1.588, 1.033, 60.50)</w:t>
            </w:r>
          </w:p>
        </w:tc>
        <w:tc>
          <w:tcPr>
            <w:tcW w:w="2116" w:type="dxa"/>
            <w:tcBorders>
              <w:tl2br w:val="nil"/>
              <w:tr2bl w:val="nil"/>
            </w:tcBorders>
            <w:vAlign w:val="center"/>
          </w:tcPr>
          <w:p w14:paraId="04C43BCF">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phi3_4b_hf_4bit</w:t>
            </w:r>
          </w:p>
        </w:tc>
        <w:tc>
          <w:tcPr>
            <w:tcW w:w="1123" w:type="dxa"/>
            <w:tcBorders>
              <w:tl2br w:val="nil"/>
              <w:tr2bl w:val="nil"/>
            </w:tcBorders>
            <w:vAlign w:val="center"/>
          </w:tcPr>
          <w:p w14:paraId="573BB38F">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0.6349</w:t>
            </w:r>
          </w:p>
        </w:tc>
        <w:tc>
          <w:tcPr>
            <w:tcW w:w="926" w:type="dxa"/>
            <w:tcBorders>
              <w:tl2br w:val="nil"/>
              <w:tr2bl w:val="nil"/>
            </w:tcBorders>
            <w:vAlign w:val="center"/>
          </w:tcPr>
          <w:p w14:paraId="41B3DCE3">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0.2659</w:t>
            </w:r>
          </w:p>
        </w:tc>
      </w:tr>
    </w:tbl>
    <w:p w14:paraId="0C0D0C05">
      <w:pPr>
        <w:shd w:val="clear"/>
        <w:rPr>
          <w:rFonts w:ascii="Times New Roman" w:hAnsi="Times New Roman" w:eastAsia="宋体" w:cs="Times New Roman"/>
          <w:sz w:val="24"/>
          <w:szCs w:val="24"/>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74A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13A9B2">
            <w:pPr>
              <w:rPr>
                <w:rFonts w:ascii="Times New Roman" w:hAnsi="Times New Roman" w:eastAsia="宋体" w:cs="Times New Roman"/>
                <w:sz w:val="24"/>
                <w:szCs w:val="24"/>
                <w:vertAlign w:val="baseline"/>
              </w:rPr>
            </w:pPr>
          </w:p>
        </w:tc>
      </w:tr>
      <w:tr w14:paraId="4D97A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FA820F6">
            <w:pPr>
              <w:jc w:val="cente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4428490" cy="3161030"/>
                  <wp:effectExtent l="0" t="0" r="3810" b="1270"/>
                  <wp:docPr id="5" name="图片 5" descr="pareto_quality_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pareto_quality_energy"/>
                          <pic:cNvPicPr>
                            <a:picLocks noChangeAspect="1"/>
                          </pic:cNvPicPr>
                        </pic:nvPicPr>
                        <pic:blipFill>
                          <a:blip r:embed="rId10"/>
                          <a:stretch>
                            <a:fillRect/>
                          </a:stretch>
                        </pic:blipFill>
                        <pic:spPr>
                          <a:xfrm>
                            <a:off x="0" y="0"/>
                            <a:ext cx="4428490" cy="3161030"/>
                          </a:xfrm>
                          <a:prstGeom prst="rect">
                            <a:avLst/>
                          </a:prstGeom>
                        </pic:spPr>
                      </pic:pic>
                    </a:graphicData>
                  </a:graphic>
                </wp:inline>
              </w:drawing>
            </w:r>
          </w:p>
        </w:tc>
      </w:tr>
      <w:tr w14:paraId="0844D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5DA1818">
            <w:pPr>
              <w:jc w:val="cente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3800475" cy="2743200"/>
                  <wp:effectExtent l="0" t="0" r="9525" b="0"/>
                  <wp:docPr id="6" name="图片 6" descr="pareto_quality_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pareto_quality_speed"/>
                          <pic:cNvPicPr>
                            <a:picLocks noChangeAspect="1"/>
                          </pic:cNvPicPr>
                        </pic:nvPicPr>
                        <pic:blipFill>
                          <a:blip r:embed="rId11"/>
                          <a:stretch>
                            <a:fillRect/>
                          </a:stretch>
                        </pic:blipFill>
                        <pic:spPr>
                          <a:xfrm>
                            <a:off x="0" y="0"/>
                            <a:ext cx="3800475" cy="2743200"/>
                          </a:xfrm>
                          <a:prstGeom prst="rect">
                            <a:avLst/>
                          </a:prstGeom>
                        </pic:spPr>
                      </pic:pic>
                    </a:graphicData>
                  </a:graphic>
                </wp:inline>
              </w:drawing>
            </w:r>
          </w:p>
        </w:tc>
      </w:tr>
    </w:tbl>
    <w:p w14:paraId="0446C46E">
      <w:pPr>
        <w:shd w:val="clear"/>
        <w:rPr>
          <w:rFonts w:ascii="Times New Roman" w:hAnsi="Times New Roman" w:eastAsia="宋体" w:cs="Times New Roman"/>
          <w:sz w:val="24"/>
          <w:szCs w:val="24"/>
        </w:rPr>
      </w:pPr>
    </w:p>
    <w:p w14:paraId="0BD53B65">
      <w:pPr>
        <w:pStyle w:val="4"/>
        <w:bidi w:val="0"/>
      </w:pPr>
      <w:bookmarkStart w:id="1" w:name="bm_4_2_1_各任务前沿特征分析"/>
      <w:r>
        <w:t>4.2.1 各任务前沿特征分析</w:t>
      </w:r>
      <w:bookmarkEnd w:id="1"/>
    </w:p>
    <w:p w14:paraId="7AE81FF1">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代码生成任务</w:t>
      </w:r>
      <w:r>
        <w:rPr>
          <w:rFonts w:ascii="Times New Roman" w:hAnsi="Times New Roman" w:eastAsia="宋体" w:cs="Times New Roman"/>
          <w:sz w:val="24"/>
          <w:szCs w:val="24"/>
        </w:rPr>
        <w:t>的前沿由三个经过量化的模型构成：</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 以最高的质量（2.181）和较低的能耗（1.392）占据质量端，同时速度达到40.20 tokens/s；</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和 </w:t>
      </w:r>
      <w:r>
        <w:rPr>
          <w:rStyle w:val="12"/>
          <w:rFonts w:ascii="Times New Roman" w:hAnsi="Times New Roman" w:eastAsia="宋体" w:cs="Times New Roman"/>
          <w:sz w:val="24"/>
          <w:szCs w:val="24"/>
          <w:shd w:val="clear" w:color="auto" w:fill="F8F8FA"/>
        </w:rPr>
        <w:t>qwen_8b_ol_q4km</w:t>
      </w:r>
      <w:r>
        <w:rPr>
          <w:rFonts w:ascii="Times New Roman" w:hAnsi="Times New Roman" w:eastAsia="宋体" w:cs="Times New Roman"/>
          <w:sz w:val="24"/>
          <w:szCs w:val="24"/>
        </w:rPr>
        <w:t xml:space="preserve"> 则提供相近的高速（约41 tokens/s）但质量稍逊。其质量-能耗前沿超体积为1.000，间距为0，表明前沿覆盖完整且分布均匀，而拐点模型 </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 在质量与能耗之间取得了最佳平衡。</w:t>
      </w:r>
    </w:p>
    <w:p w14:paraId="435AE912">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创意写作任务</w:t>
      </w:r>
      <w:r>
        <w:rPr>
          <w:rFonts w:ascii="Times New Roman" w:hAnsi="Times New Roman" w:eastAsia="宋体" w:cs="Times New Roman"/>
          <w:sz w:val="24"/>
          <w:szCs w:val="24"/>
        </w:rPr>
        <w:t>的前沿显示出明显的质量分级：</w:t>
      </w:r>
      <w:r>
        <w:rPr>
          <w:rStyle w:val="12"/>
          <w:rFonts w:ascii="Times New Roman" w:hAnsi="Times New Roman" w:eastAsia="宋体" w:cs="Times New Roman"/>
          <w:sz w:val="24"/>
          <w:szCs w:val="24"/>
          <w:shd w:val="clear" w:color="auto" w:fill="F8F8FA"/>
        </w:rPr>
        <w:t>qwen25_7b_hf_4bit</w:t>
      </w:r>
      <w:r>
        <w:rPr>
          <w:rFonts w:ascii="Times New Roman" w:hAnsi="Times New Roman" w:eastAsia="宋体" w:cs="Times New Roman"/>
          <w:sz w:val="24"/>
          <w:szCs w:val="24"/>
        </w:rPr>
        <w:t xml:space="preserve"> 质量最高（3.578）但能耗最高（3.154），速度居中；</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质量稍低（3.305）但能耗大幅降低（1.554），速度相近；而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 则以极低能耗（1.083）和极高速度（65.75）提供了可接受的质量（1.732），成为速度优先场景的理想选择。拐点模型 </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体现了质量与能耗的较优权衡。</w:t>
      </w:r>
    </w:p>
    <w:p w14:paraId="251FB03E">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数学推理任务</w:t>
      </w:r>
      <w:r>
        <w:rPr>
          <w:rFonts w:ascii="Times New Roman" w:hAnsi="Times New Roman" w:eastAsia="宋体" w:cs="Times New Roman"/>
          <w:sz w:val="24"/>
          <w:szCs w:val="24"/>
        </w:rPr>
        <w:t>的前沿最为丰富，包含5个模型，覆盖了从高质量低速度到低质量高速度的广泛区间。</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质量领先（1.427），能耗中等（1.563），速度较慢（17.73）；</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 则位于另一端，质量为负但能耗极低（1.049）且速度最快（64.66）。拐点模型 </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 处于中间位置（质量0.087，能耗1.261，速度49.55），体现了良好的综合性能。该任务超体积较小（0.8863）且间距较大（0.1339），说明前沿分布不够均匀，存在性能断层。</w:t>
      </w:r>
    </w:p>
    <w:p w14:paraId="6F70971D">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问答任务</w:t>
      </w:r>
      <w:r>
        <w:rPr>
          <w:rFonts w:ascii="Times New Roman" w:hAnsi="Times New Roman" w:eastAsia="宋体" w:cs="Times New Roman"/>
          <w:sz w:val="24"/>
          <w:szCs w:val="24"/>
        </w:rPr>
        <w:t>的前沿仅有两个模型：</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质量最高（1.538），能耗中等（1.895），速度38.22；</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 质量次之（1.009），但能耗极低（1.030）且速度更快（57.55）。拐点模型 </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更侧重于质量，而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 则适合对能耗和速度敏感的场景。超体积0.9421，间距0，表明这两个模型构成了完整的非支配边界。</w:t>
      </w:r>
    </w:p>
    <w:p w14:paraId="085C3A55">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推理任务</w:t>
      </w:r>
      <w:r>
        <w:rPr>
          <w:rFonts w:ascii="Times New Roman" w:hAnsi="Times New Roman" w:eastAsia="宋体" w:cs="Times New Roman"/>
          <w:sz w:val="24"/>
          <w:szCs w:val="24"/>
        </w:rPr>
        <w:t>的前沿与创意任务相似：</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质量最高（2.329），能耗1.580，速度16.80；</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质量接近（1.993），能耗稍高（1.942），速度大幅提升至41.25；</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 质量1.912，能耗仅1.050，速度达64.56，成为能效和速度的标杆。拐点模型同样为 </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，超体积0.9831，间距0，前沿覆盖良好。</w:t>
      </w:r>
    </w:p>
    <w:p w14:paraId="73666B67">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摘要任务</w:t>
      </w:r>
      <w:r>
        <w:rPr>
          <w:rFonts w:ascii="Times New Roman" w:hAnsi="Times New Roman" w:eastAsia="宋体" w:cs="Times New Roman"/>
          <w:sz w:val="24"/>
          <w:szCs w:val="24"/>
        </w:rPr>
        <w:t xml:space="preserve">的前沿由 </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和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 构成，两者质量差距显著（5.278 vs 0.808），但能耗和速度形成鲜明对比：前者能耗1.597、速度16.22，后者能耗1.016、速度55.42。拐点模型 </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代表了高质量导向的最优权衡，超体积0.8363相对较小，说明高质量端的选择有限。</w:t>
      </w:r>
    </w:p>
    <w:p w14:paraId="061A7877">
      <w:pPr>
        <w:shd w:val="clear" w:fill="FFFFFF" w:themeFill="background1"/>
        <w:spacing w:after="220"/>
        <w:rPr>
          <w:rFonts w:ascii="Times New Roman" w:hAnsi="Times New Roman" w:eastAsia="宋体" w:cs="Times New Roman"/>
          <w:sz w:val="24"/>
          <w:szCs w:val="24"/>
        </w:rPr>
      </w:pPr>
      <w:r>
        <w:rPr>
          <w:rFonts w:ascii="Times New Roman" w:hAnsi="Times New Roman" w:eastAsia="宋体" w:cs="Times New Roman"/>
          <w:b/>
          <w:sz w:val="24"/>
          <w:szCs w:val="24"/>
        </w:rPr>
        <w:t>翻译任务</w:t>
      </w:r>
      <w:r>
        <w:rPr>
          <w:rFonts w:ascii="Times New Roman" w:hAnsi="Times New Roman" w:eastAsia="宋体" w:cs="Times New Roman"/>
          <w:sz w:val="24"/>
          <w:szCs w:val="24"/>
        </w:rPr>
        <w:t>的前沿最为复杂，包含5个模型，且质量范围极宽：</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质量高达8.105，远超其他模型，能耗1.883，速度37.48；随后 </w:t>
      </w:r>
      <w:r>
        <w:rPr>
          <w:rStyle w:val="12"/>
          <w:rFonts w:ascii="Times New Roman" w:hAnsi="Times New Roman" w:eastAsia="宋体" w:cs="Times New Roman"/>
          <w:sz w:val="24"/>
          <w:szCs w:val="24"/>
          <w:shd w:val="clear" w:color="auto" w:fill="F8F8FA"/>
        </w:rPr>
        <w:t>phi3_4b_hf_4bit</w:t>
      </w:r>
      <w:r>
        <w:rPr>
          <w:rFonts w:ascii="Times New Roman" w:hAnsi="Times New Roman" w:eastAsia="宋体" w:cs="Times New Roman"/>
          <w:sz w:val="24"/>
          <w:szCs w:val="24"/>
        </w:rPr>
        <w:t xml:space="preserve"> 质量0.748，能耗1.621，速度20.61；而 </w:t>
      </w:r>
      <w:r>
        <w:rPr>
          <w:rStyle w:val="12"/>
          <w:rFonts w:ascii="Times New Roman" w:hAnsi="Times New Roman" w:eastAsia="宋体" w:cs="Times New Roman"/>
          <w:sz w:val="24"/>
          <w:szCs w:val="24"/>
          <w:shd w:val="clear" w:color="auto" w:fill="F8F8FA"/>
        </w:rPr>
        <w:t>gemma_2b_hf_4bit</w:t>
      </w:r>
      <w:r>
        <w:rPr>
          <w:rFonts w:ascii="Times New Roman" w:hAnsi="Times New Roman" w:eastAsia="宋体" w:cs="Times New Roman"/>
          <w:sz w:val="24"/>
          <w:szCs w:val="24"/>
        </w:rPr>
        <w:t>、</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 质量均为负值，但能耗依次降低，速度依次升高。拐点模型 </w:t>
      </w:r>
      <w:r>
        <w:rPr>
          <w:rStyle w:val="12"/>
          <w:rFonts w:ascii="Times New Roman" w:hAnsi="Times New Roman" w:eastAsia="宋体" w:cs="Times New Roman"/>
          <w:sz w:val="24"/>
          <w:szCs w:val="24"/>
          <w:shd w:val="clear" w:color="auto" w:fill="F8F8FA"/>
        </w:rPr>
        <w:t>phi3_4b_hf_4bit</w:t>
      </w:r>
      <w:r>
        <w:rPr>
          <w:rFonts w:ascii="Times New Roman" w:hAnsi="Times New Roman" w:eastAsia="宋体" w:cs="Times New Roman"/>
          <w:sz w:val="24"/>
          <w:szCs w:val="24"/>
        </w:rPr>
        <w:t xml:space="preserve"> 位于质量与能耗的转折处。超体积0.6349为七任务中最低，间距0.2659最大，反映出前沿分布稀疏且不均匀，高质量模型与能效模型之间存在明显鸿沟。</w:t>
      </w:r>
    </w:p>
    <w:p w14:paraId="2776C68F">
      <w:pPr>
        <w:shd w:val="clear"/>
        <w:spacing w:before="240" w:line="271" w:lineRule="auto"/>
        <w:rPr>
          <w:rFonts w:ascii="Times New Roman" w:hAnsi="Times New Roman" w:eastAsia="宋体" w:cs="Times New Roman"/>
          <w:sz w:val="24"/>
          <w:szCs w:val="24"/>
        </w:rPr>
      </w:pPr>
      <w:bookmarkStart w:id="2" w:name="bm_4_2_2_跨任务模型共性观察"/>
      <w:r>
        <w:rPr>
          <w:rFonts w:ascii="Times New Roman" w:hAnsi="Times New Roman" w:eastAsia="宋体" w:cs="Times New Roman"/>
          <w:b/>
          <w:sz w:val="24"/>
          <w:szCs w:val="24"/>
        </w:rPr>
        <w:t>4.2.2 跨任务模型共性观察</w:t>
      </w:r>
      <w:bookmarkEnd w:id="2"/>
    </w:p>
    <w:p w14:paraId="7B5FEB65">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从表1可以观察到，部分模型在多个任务中频繁出现在三维前沿上，表明其具备跨任务的泛化能力：</w:t>
      </w:r>
    </w:p>
    <w:p w14:paraId="00C0FF41">
      <w:pPr>
        <w:numPr>
          <w:ilvl w:val="0"/>
          <w:numId w:val="1"/>
        </w:numPr>
        <w:shd w:val="clear"/>
        <w:rPr>
          <w:rFonts w:ascii="Times New Roman" w:hAnsi="Times New Roman" w:eastAsia="宋体" w:cs="Times New Roman"/>
          <w:sz w:val="24"/>
          <w:szCs w:val="24"/>
        </w:rPr>
      </w:pPr>
      <w:r>
        <w:rPr>
          <w:rStyle w:val="12"/>
          <w:rFonts w:ascii="Times New Roman" w:hAnsi="Times New Roman" w:eastAsia="宋体" w:cs="Times New Roman"/>
          <w:b/>
          <w:sz w:val="24"/>
          <w:szCs w:val="24"/>
          <w:shd w:val="clear" w:color="auto" w:fill="F8F8FA"/>
        </w:rPr>
        <w:t>qwen_4b_ol_q4km</w:t>
      </w:r>
      <w:r>
        <w:rPr>
          <w:rFonts w:ascii="Times New Roman" w:hAnsi="Times New Roman" w:eastAsia="宋体" w:cs="Times New Roman"/>
          <w:sz w:val="24"/>
          <w:szCs w:val="24"/>
        </w:rPr>
        <w:t xml:space="preserve"> 出现在除代码生成外的所有六个任务的前沿中，且在创意、数学、问答、推理、摘要、翻译中均以最低能耗和最高速度著称，是能效与速度的“全能选手”，但其质量通常处于中低水平（部分任务中为负值），适合对质量要求不苛刻但需快速响应的场景。</w:t>
      </w:r>
    </w:p>
    <w:p w14:paraId="7DD7143A">
      <w:pPr>
        <w:numPr>
          <w:ilvl w:val="0"/>
          <w:numId w:val="1"/>
        </w:numPr>
        <w:shd w:val="clear"/>
        <w:rPr>
          <w:rFonts w:ascii="Times New Roman" w:hAnsi="Times New Roman" w:eastAsia="宋体" w:cs="Times New Roman"/>
          <w:sz w:val="24"/>
          <w:szCs w:val="24"/>
        </w:rPr>
      </w:pPr>
      <w:r>
        <w:rPr>
          <w:rStyle w:val="12"/>
          <w:rFonts w:ascii="Times New Roman" w:hAnsi="Times New Roman" w:eastAsia="宋体" w:cs="Times New Roman"/>
          <w:b/>
          <w:sz w:val="24"/>
          <w:szCs w:val="24"/>
          <w:shd w:val="clear" w:color="auto" w:fill="F8F8FA"/>
        </w:rPr>
        <w:t>deepseek_8b_ol_q4km</w:t>
      </w:r>
      <w:r>
        <w:rPr>
          <w:rFonts w:ascii="Times New Roman" w:hAnsi="Times New Roman" w:eastAsia="宋体" w:cs="Times New Roman"/>
          <w:sz w:val="24"/>
          <w:szCs w:val="24"/>
        </w:rPr>
        <w:t xml:space="preserve"> 在代码、数学、问答、推理、翻译五个任务中入选前沿，且多为高质量代表（如问答、翻译中质量最高），能耗和速度表现均衡，是追求高质量时的可靠选择。</w:t>
      </w:r>
    </w:p>
    <w:p w14:paraId="4C9E5518">
      <w:pPr>
        <w:numPr>
          <w:ilvl w:val="0"/>
          <w:numId w:val="1"/>
        </w:numPr>
        <w:shd w:val="clear"/>
        <w:rPr>
          <w:rFonts w:ascii="Times New Roman" w:hAnsi="Times New Roman" w:eastAsia="宋体" w:cs="Times New Roman"/>
          <w:sz w:val="24"/>
          <w:szCs w:val="24"/>
        </w:rPr>
      </w:pPr>
      <w:r>
        <w:rPr>
          <w:rStyle w:val="12"/>
          <w:rFonts w:ascii="Times New Roman" w:hAnsi="Times New Roman" w:eastAsia="宋体" w:cs="Times New Roman"/>
          <w:b/>
          <w:sz w:val="24"/>
          <w:szCs w:val="24"/>
          <w:shd w:val="clear" w:color="auto" w:fill="F8F8FA"/>
        </w:rPr>
        <w:t>gemma_4b_ol_q4km</w:t>
      </w:r>
      <w:r>
        <w:rPr>
          <w:rFonts w:ascii="Times New Roman" w:hAnsi="Times New Roman" w:eastAsia="宋体" w:cs="Times New Roman"/>
          <w:sz w:val="24"/>
          <w:szCs w:val="24"/>
        </w:rPr>
        <w:t xml:space="preserve"> 在代码、数学、翻译三个任务中成为前沿，且两次被选为拐点模型（代码、数学），表明其在中等质量区间内具有良好的能耗-速度平衡。</w:t>
      </w:r>
    </w:p>
    <w:p w14:paraId="6F068740">
      <w:pPr>
        <w:numPr>
          <w:ilvl w:val="0"/>
          <w:numId w:val="1"/>
        </w:numPr>
        <w:shd w:val="clear"/>
        <w:rPr>
          <w:rFonts w:ascii="Times New Roman" w:hAnsi="Times New Roman" w:eastAsia="宋体" w:cs="Times New Roman"/>
          <w:sz w:val="24"/>
          <w:szCs w:val="24"/>
        </w:rPr>
      </w:pPr>
      <w:r>
        <w:rPr>
          <w:rStyle w:val="12"/>
          <w:rFonts w:ascii="Times New Roman" w:hAnsi="Times New Roman" w:eastAsia="宋体" w:cs="Times New Roman"/>
          <w:b/>
          <w:sz w:val="24"/>
          <w:szCs w:val="24"/>
          <w:shd w:val="clear" w:color="auto" w:fill="F8F8FA"/>
        </w:rPr>
        <w:t>qwen25_3b_hf_4bit</w:t>
      </w:r>
      <w:r>
        <w:rPr>
          <w:rFonts w:ascii="Times New Roman" w:hAnsi="Times New Roman" w:eastAsia="宋体" w:cs="Times New Roman"/>
          <w:sz w:val="24"/>
          <w:szCs w:val="24"/>
        </w:rPr>
        <w:t xml:space="preserve"> 在创意、数学、推理、摘要四个任务中占据前沿，且多次成为拐点模型（创意、推理、摘要），其特点是以适中的能耗和速度提供较高的质量，适合作为通用任务的首选。</w:t>
      </w:r>
    </w:p>
    <w:p w14:paraId="01F0165C">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此外，不同任务的前沿规模差异明显：数学和翻译各有5个模型，而问答和摘要仅有两个，这可能与任务本身的难度分布以及模型在不同任务上的表现差异有关。超体积的差异也反映了各任务中权衡空间的丰富程度：代码生成和推理任务的超体积接近1，说明前沿覆盖了从高质量低能效到低质量高能效的完整区间；而摘要和翻译的超体积较小，表明高质量模型与高能效模型之间存在较大性能缺口，需要进一步优化。</w:t>
      </w:r>
    </w:p>
    <w:p w14:paraId="0048C3BC">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综上，分任务帕累托前沿分析揭示了不同NLP任务下模型性能的异质性，同时也识别出一批具有跨任务优势的模型，为后续成本效益分析和场景化选择策略提供了基础。</w:t>
      </w:r>
    </w:p>
    <w:p w14:paraId="609CD041">
      <w:pPr>
        <w:pStyle w:val="3"/>
        <w:shd w:val="clear"/>
        <w:bidi w:val="0"/>
        <w:rPr>
          <w:rFonts w:hint="eastAsia" w:ascii="Times New Roman" w:hAnsi="Times New Roman" w:cs="Times New Roman"/>
          <w:lang w:val="en-US" w:eastAsia="zh-CN"/>
        </w:rPr>
      </w:pPr>
      <w:r>
        <w:rPr>
          <w:rFonts w:hint="eastAsia" w:ascii="Times New Roman" w:hAnsi="Times New Roman" w:cs="Times New Roman"/>
          <w:lang w:val="en-US" w:eastAsia="zh-CN"/>
        </w:rPr>
        <w:t>4.3 混合任务帕累托前沿分析</w:t>
      </w:r>
    </w:p>
    <w:p w14:paraId="11850365">
      <w:pPr>
        <w:spacing w:after="220"/>
        <w:rPr>
          <w:rFonts w:ascii="Times New Roman" w:hAnsi="Times New Roman" w:eastAsia="宋体" w:cs="Times New Roman"/>
          <w:sz w:val="24"/>
          <w:szCs w:val="24"/>
        </w:rPr>
      </w:pPr>
      <w:r>
        <w:rPr>
          <w:rFonts w:ascii="Times New Roman" w:hAnsi="Times New Roman" w:eastAsia="宋体" w:cs="Times New Roman"/>
          <w:sz w:val="24"/>
          <w:szCs w:val="24"/>
        </w:rPr>
        <w:t>单一任务的帕累托前沿分析揭示了模型在特定能力维度上的能-质-速权衡，但在实际应用中，模型往往需要同时处理多种类型的任务，且不同任务对用户的重要性各异。为此，我们构建了</w:t>
      </w:r>
      <w:r>
        <w:rPr>
          <w:rFonts w:ascii="Times New Roman" w:hAnsi="Times New Roman" w:eastAsia="宋体" w:cs="Times New Roman"/>
          <w:b/>
          <w:sz w:val="24"/>
          <w:szCs w:val="24"/>
        </w:rPr>
        <w:t>混合任务评估框架</w:t>
      </w:r>
      <w:r>
        <w:rPr>
          <w:rFonts w:ascii="Times New Roman" w:hAnsi="Times New Roman" w:eastAsia="宋体" w:cs="Times New Roman"/>
          <w:sz w:val="24"/>
          <w:szCs w:val="24"/>
        </w:rPr>
        <w:t>，将多个任务的性能整合为</w:t>
      </w:r>
      <w:r>
        <w:rPr>
          <w:rFonts w:ascii="Times New Roman" w:hAnsi="Times New Roman" w:eastAsia="宋体" w:cs="Times New Roman"/>
          <w:b/>
          <w:sz w:val="24"/>
          <w:szCs w:val="24"/>
        </w:rPr>
        <w:t>综合质量得分</w:t>
      </w:r>
      <w:r>
        <w:rPr>
          <w:rFonts w:ascii="Times New Roman" w:hAnsi="Times New Roman" w:eastAsia="宋体" w:cs="Times New Roman"/>
          <w:sz w:val="24"/>
          <w:szCs w:val="24"/>
        </w:rPr>
        <w:t>，并引入</w:t>
      </w:r>
      <w:r>
        <w:rPr>
          <w:rFonts w:ascii="Times New Roman" w:hAnsi="Times New Roman" w:eastAsia="宋体" w:cs="Times New Roman"/>
          <w:b/>
          <w:sz w:val="24"/>
          <w:szCs w:val="24"/>
        </w:rPr>
        <w:t>任务难度</w:t>
      </w:r>
      <w:r>
        <w:rPr>
          <w:rFonts w:ascii="Times New Roman" w:hAnsi="Times New Roman" w:eastAsia="宋体" w:cs="Times New Roman"/>
          <w:sz w:val="24"/>
          <w:szCs w:val="24"/>
        </w:rPr>
        <w:t>与</w:t>
      </w:r>
      <w:r>
        <w:rPr>
          <w:rFonts w:ascii="Times New Roman" w:hAnsi="Times New Roman" w:eastAsia="宋体" w:cs="Times New Roman"/>
          <w:b/>
          <w:sz w:val="24"/>
          <w:szCs w:val="24"/>
        </w:rPr>
        <w:t>用户偏好</w:t>
      </w:r>
      <w:r>
        <w:rPr>
          <w:rFonts w:ascii="Times New Roman" w:hAnsi="Times New Roman" w:eastAsia="宋体" w:cs="Times New Roman"/>
          <w:sz w:val="24"/>
          <w:szCs w:val="24"/>
        </w:rPr>
        <w:t>，以模拟真实场景下的模型选择需求。</w:t>
      </w:r>
    </w:p>
    <w:p w14:paraId="75FA6707">
      <w:pPr>
        <w:spacing w:before="240" w:line="271" w:lineRule="auto"/>
        <w:rPr>
          <w:rFonts w:ascii="Times New Roman" w:hAnsi="Times New Roman" w:eastAsia="宋体" w:cs="Times New Roman"/>
          <w:sz w:val="24"/>
          <w:szCs w:val="24"/>
        </w:rPr>
      </w:pPr>
      <w:bookmarkStart w:id="3" w:name="bm_4_3_1_综合质量得分的构建"/>
      <w:r>
        <w:rPr>
          <w:rFonts w:ascii="Times New Roman" w:hAnsi="Times New Roman" w:eastAsia="宋体" w:cs="Times New Roman"/>
          <w:b/>
          <w:sz w:val="24"/>
          <w:szCs w:val="24"/>
        </w:rPr>
        <w:t>4.3.1 综合质量得分的构建</w:t>
      </w:r>
      <w:bookmarkEnd w:id="3"/>
    </w:p>
    <w:p w14:paraId="053129F9">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依据第3节所述方法，我们首先计算各任务的质量得分（基于PCA降维后的第一主成分），然后定义任务难度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为模型在该任务上得分的变异系数（CV）。难度越高，意味着模型间性能差异越大，任务对模型能力的区分度越强。为突出模型在困难任务上的表现，我们采用</w:t>
      </w:r>
      <w:r>
        <w:rPr>
          <w:rFonts w:ascii="Times New Roman" w:hAnsi="Times New Roman" w:eastAsia="宋体" w:cs="Times New Roman"/>
          <w:b/>
          <w:sz w:val="24"/>
          <w:szCs w:val="24"/>
        </w:rPr>
        <w:t>凸显因子</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α</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p>
          <m:sSupPr>
            <m:ctrlPr>
              <w:rPr>
                <w:rFonts w:ascii="Cambria Math" w:hAnsi="Cambria Math" w:eastAsia="宋体" w:cs="Times New Roman"/>
                <w:sz w:val="24"/>
                <w:szCs w:val="24"/>
              </w:rPr>
            </m:ctrlPr>
          </m:sSup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p>
            <m:r>
              <m:rPr/>
              <w:rPr>
                <w:rFonts w:ascii="Times New Roman" w:hAnsi="Times New Roman" w:eastAsia="宋体" w:cs="Times New Roman"/>
                <w:sz w:val="24"/>
                <w:szCs w:val="24"/>
              </w:rPr>
              <m:t>γ</m:t>
            </m:r>
            <m:sSub>
              <m:sSubPr>
                <m:ctrlPr>
                  <w:rPr>
                    <w:rFonts w:ascii="Cambria Math" w:hAnsi="Cambria Math" w:eastAsia="宋体" w:cs="Times New Roman"/>
                    <w:sz w:val="24"/>
                    <w:szCs w:val="24"/>
                  </w:rPr>
                </m:ctrlPr>
              </m:sSubPr>
              <m:e>
                <m:acc>
                  <m:accPr>
                    <m:chr m:val="˜"/>
                    <m:ctrlPr>
                      <w:rPr>
                        <w:rFonts w:ascii="Cambria Math" w:hAnsi="Cambria Math" w:eastAsia="宋体" w:cs="Times New Roman"/>
                        <w:sz w:val="24"/>
                        <w:szCs w:val="24"/>
                      </w:rPr>
                    </m:ctrlPr>
                  </m:accPr>
                  <m:e>
                    <m:r>
                      <m:rPr/>
                      <w:rPr>
                        <w:rFonts w:ascii="Times New Roman" w:hAnsi="Times New Roman" w:eastAsia="宋体" w:cs="Times New Roman"/>
                        <w:sz w:val="24"/>
                        <w:szCs w:val="24"/>
                      </w:rPr>
                      <m:t>d</m:t>
                    </m:r>
                    <m:ctrlPr>
                      <w:rPr>
                        <w:rFonts w:ascii="Cambria Math" w:hAnsi="Cambria Math" w:eastAsia="宋体" w:cs="Times New Roman"/>
                        <w:sz w:val="24"/>
                        <w:szCs w:val="24"/>
                      </w:rPr>
                    </m:ctrlPr>
                  </m:e>
                </m:acc>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sup>
        </m:sSup>
      </m:oMath>
      <w:r>
        <w:rPr>
          <w:rFonts w:ascii="Times New Roman" w:hAnsi="Times New Roman" w:eastAsia="宋体" w:cs="Times New Roman"/>
          <w:sz w:val="24"/>
          <w:szCs w:val="24"/>
        </w:rPr>
        <w:t xml:space="preserve">（取 </w:t>
      </w:r>
      <m:oMath>
        <m:r>
          <m:rPr/>
          <w:rPr>
            <w:rFonts w:ascii="Times New Roman" w:hAnsi="Times New Roman" w:eastAsia="宋体" w:cs="Times New Roman"/>
            <w:sz w:val="24"/>
            <w:szCs w:val="24"/>
          </w:rPr>
          <m:t>γ</m:t>
        </m:r>
        <m:r>
          <m:rPr>
            <m:sty m:val="p"/>
          </m:rPr>
          <w:rPr>
            <w:rFonts w:ascii="Times New Roman" w:hAnsi="Times New Roman" w:eastAsia="宋体" w:cs="Times New Roman"/>
            <w:sz w:val="24"/>
            <w:szCs w:val="24"/>
          </w:rPr>
          <m:t>=0.5</m:t>
        </m:r>
      </m:oMath>
      <w:r>
        <w:rPr>
          <w:rFonts w:ascii="Times New Roman" w:hAnsi="Times New Roman" w:eastAsia="宋体" w:cs="Times New Roman"/>
          <w:sz w:val="24"/>
          <w:szCs w:val="24"/>
        </w:rPr>
        <w:t>，</w:t>
      </w:r>
      <m:oMath>
        <m:sSub>
          <m:sSubPr>
            <m:ctrlPr>
              <w:rPr>
                <w:rFonts w:ascii="Cambria Math" w:hAnsi="Cambria Math" w:eastAsia="宋体" w:cs="Times New Roman"/>
                <w:sz w:val="24"/>
                <w:szCs w:val="24"/>
              </w:rPr>
            </m:ctrlPr>
          </m:sSubPr>
          <m:e>
            <m:acc>
              <m:accPr>
                <m:chr m:val="˜"/>
                <m:ctrlPr>
                  <w:rPr>
                    <w:rFonts w:ascii="Cambria Math" w:hAnsi="Cambria Math" w:eastAsia="宋体" w:cs="Times New Roman"/>
                    <w:sz w:val="24"/>
                    <w:szCs w:val="24"/>
                  </w:rPr>
                </m:ctrlPr>
              </m:accPr>
              <m:e>
                <m:r>
                  <m:rPr/>
                  <w:rPr>
                    <w:rFonts w:ascii="Times New Roman" w:hAnsi="Times New Roman" w:eastAsia="宋体" w:cs="Times New Roman"/>
                    <w:sz w:val="24"/>
                    <w:szCs w:val="24"/>
                  </w:rPr>
                  <m:t>d</m:t>
                </m:r>
                <m:ctrlPr>
                  <w:rPr>
                    <w:rFonts w:ascii="Cambria Math" w:hAnsi="Cambria Math" w:eastAsia="宋体" w:cs="Times New Roman"/>
                    <w:sz w:val="24"/>
                    <w:szCs w:val="24"/>
                  </w:rPr>
                </m:ctrlPr>
              </m:e>
            </m:acc>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为归一化难度）对原始得分进行加权。最后，结合用户偏好权重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，通过加权平均得到每个模型的</w:t>
      </w:r>
      <w:r>
        <w:rPr>
          <w:rFonts w:ascii="Times New Roman" w:hAnsi="Times New Roman" w:eastAsia="宋体" w:cs="Times New Roman"/>
          <w:b/>
          <w:sz w:val="24"/>
          <w:szCs w:val="24"/>
        </w:rPr>
        <w:t>综合质量得分</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w:t>
      </w:r>
    </w:p>
    <w:p w14:paraId="6B20D5E1">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nary>
                <m:naryPr>
                  <m:chr m:val="∑"/>
                  <m:grow m:val="1"/>
                  <m:limLoc m:val="undOvr"/>
                  <m:supHide m:val="1"/>
                  <m:ctrlPr>
                    <w:rPr>
                      <w:rFonts w:ascii="Cambria Math" w:hAnsi="Cambria Math" w:eastAsia="宋体" w:cs="Times New Roman"/>
                      <w:sz w:val="24"/>
                      <w:szCs w:val="24"/>
                    </w:rPr>
                  </m:ctrlPr>
                </m:naryPr>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nary>
                <m:naryPr>
                  <m:chr m:val="∑"/>
                  <m:grow m:val="1"/>
                  <m:limLoc m:val="undOvr"/>
                  <m:supHide m:val="1"/>
                  <m:ctrlPr>
                    <w:rPr>
                      <w:rFonts w:ascii="Cambria Math" w:hAnsi="Cambria Math" w:eastAsia="宋体" w:cs="Times New Roman"/>
                      <w:sz w:val="24"/>
                      <w:szCs w:val="24"/>
                    </w:rPr>
                  </m:ctrlPr>
                </m:naryPr>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den>
          </m:f>
        </m:oMath>
      </m:oMathPara>
    </w:p>
    <w:p w14:paraId="401F5AF8">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其中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为模型 </w:t>
      </w:r>
      <m:oMath>
        <m:r>
          <m:rPr/>
          <w:rPr>
            <w:rFonts w:ascii="Times New Roman" w:hAnsi="Times New Roman" w:eastAsia="宋体" w:cs="Times New Roman"/>
            <w:sz w:val="24"/>
            <w:szCs w:val="24"/>
          </w:rPr>
          <m:t>i</m:t>
        </m:r>
      </m:oMath>
      <w:r>
        <w:rPr>
          <w:rFonts w:ascii="Times New Roman" w:hAnsi="Times New Roman" w:eastAsia="宋体" w:cs="Times New Roman"/>
          <w:sz w:val="24"/>
          <w:szCs w:val="24"/>
        </w:rPr>
        <w:t xml:space="preserve"> 在任务 </w:t>
      </w:r>
      <m:oMath>
        <m:r>
          <m:rPr/>
          <w:rPr>
            <w:rFonts w:ascii="Times New Roman" w:hAnsi="Times New Roman" w:eastAsia="宋体" w:cs="Times New Roman"/>
            <w:sz w:val="24"/>
            <w:szCs w:val="24"/>
          </w:rPr>
          <m:t>t</m:t>
        </m:r>
      </m:oMath>
      <w:r>
        <w:rPr>
          <w:rFonts w:ascii="Times New Roman" w:hAnsi="Times New Roman" w:eastAsia="宋体" w:cs="Times New Roman"/>
          <w:sz w:val="24"/>
          <w:szCs w:val="24"/>
        </w:rPr>
        <w:t xml:space="preserve"> 上的归一化质量得分（Z‑score）。该公式将难度与偏好以乘积形式融入权重，直观体现了“高难度任务表现更受重视”的思想。</w:t>
      </w:r>
    </w:p>
    <w:p w14:paraId="09B54447">
      <w:pPr>
        <w:spacing w:after="220"/>
        <w:rPr>
          <w:rFonts w:ascii="Times New Roman" w:hAnsi="Times New Roman" w:eastAsia="宋体" w:cs="Times New Roman"/>
          <w:sz w:val="24"/>
          <w:szCs w:val="24"/>
        </w:rPr>
      </w:pPr>
      <w:r>
        <w:rPr>
          <w:rFonts w:ascii="Times New Roman" w:hAnsi="Times New Roman" w:eastAsia="宋体" w:cs="Times New Roman"/>
          <w:sz w:val="24"/>
          <w:szCs w:val="24"/>
        </w:rPr>
        <w:t>我们设置了三种典型偏好场景（表4-4），分别对应客观任务为主（技术应用）、主观任务为主（内容创作）和均衡配置（通用评估）。任务涵盖代码、数学、问答、推理、创意、摘要和翻译七类。</w:t>
      </w:r>
    </w:p>
    <w:p w14:paraId="793952D1">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表4-4 三种偏好场景的任务权重分配</w:t>
      </w:r>
    </w:p>
    <w:tbl>
      <w:tblPr>
        <w:tblStyle w:val="11"/>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39"/>
        <w:gridCol w:w="1760"/>
        <w:gridCol w:w="1760"/>
        <w:gridCol w:w="1285"/>
      </w:tblGrid>
      <w:tr w14:paraId="015B894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0CCFF61B">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任务类型</w:t>
            </w:r>
          </w:p>
        </w:tc>
        <w:tc>
          <w:tcPr>
            <w:tcBorders>
              <w:top w:val="single" w:color="000000" w:sz="0" w:space="0"/>
              <w:left w:val="single" w:color="000000" w:sz="0" w:space="0"/>
              <w:bottom w:val="single" w:color="000000" w:sz="0" w:space="0"/>
            </w:tcBorders>
          </w:tcPr>
          <w:p w14:paraId="329EBA56">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客观任务为主</w:t>
            </w:r>
          </w:p>
        </w:tc>
        <w:tc>
          <w:tcPr>
            <w:tcBorders>
              <w:top w:val="single" w:color="000000" w:sz="0" w:space="0"/>
              <w:left w:val="single" w:color="000000" w:sz="0" w:space="0"/>
              <w:bottom w:val="single" w:color="000000" w:sz="0" w:space="0"/>
            </w:tcBorders>
          </w:tcPr>
          <w:p w14:paraId="7D31E4AF">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主观任务为主</w:t>
            </w:r>
          </w:p>
        </w:tc>
        <w:tc>
          <w:tcPr>
            <w:tcBorders>
              <w:top w:val="single" w:color="000000" w:sz="0" w:space="0"/>
              <w:left w:val="single" w:color="000000" w:sz="0" w:space="0"/>
              <w:bottom w:val="single" w:color="000000" w:sz="0" w:space="0"/>
            </w:tcBorders>
          </w:tcPr>
          <w:p w14:paraId="7CD0723F">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均衡配置</w:t>
            </w:r>
          </w:p>
        </w:tc>
      </w:tr>
      <w:tr w14:paraId="30F2E70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171D8BD8">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code</w:t>
            </w:r>
          </w:p>
        </w:tc>
        <w:tc>
          <w:tcPr>
            <w:tcBorders>
              <w:top w:val="single" w:color="000000" w:sz="0" w:space="0"/>
              <w:left w:val="single" w:color="000000" w:sz="0" w:space="0"/>
              <w:bottom w:val="single" w:color="000000" w:sz="0" w:space="0"/>
            </w:tcBorders>
          </w:tcPr>
          <w:p w14:paraId="14C4D8B4">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0.30</w:t>
            </w:r>
          </w:p>
        </w:tc>
        <w:tc>
          <w:tcPr>
            <w:tcBorders>
              <w:top w:val="single" w:color="000000" w:sz="0" w:space="0"/>
              <w:left w:val="single" w:color="000000" w:sz="0" w:space="0"/>
              <w:bottom w:val="single" w:color="000000" w:sz="0" w:space="0"/>
            </w:tcBorders>
          </w:tcPr>
          <w:p w14:paraId="285CDA42">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0.10</w:t>
            </w:r>
          </w:p>
        </w:tc>
        <w:tc>
          <w:tcPr>
            <w:tcBorders>
              <w:top w:val="single" w:color="000000" w:sz="0" w:space="0"/>
              <w:left w:val="single" w:color="000000" w:sz="0" w:space="0"/>
              <w:bottom w:val="single" w:color="000000" w:sz="0" w:space="0"/>
            </w:tcBorders>
          </w:tcPr>
          <w:p w14:paraId="1FD0AA5F">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1/7</w:t>
            </w:r>
          </w:p>
        </w:tc>
      </w:tr>
      <w:tr w14:paraId="2431CCC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1A1EA15C">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math</w:t>
            </w:r>
          </w:p>
        </w:tc>
        <w:tc>
          <w:tcPr>
            <w:tcBorders>
              <w:top w:val="single" w:color="000000" w:sz="0" w:space="0"/>
              <w:left w:val="single" w:color="000000" w:sz="0" w:space="0"/>
              <w:bottom w:val="single" w:color="000000" w:sz="0" w:space="0"/>
            </w:tcBorders>
          </w:tcPr>
          <w:p w14:paraId="6CCCC5EB">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0.25</w:t>
            </w:r>
          </w:p>
        </w:tc>
        <w:tc>
          <w:tcPr>
            <w:tcBorders>
              <w:top w:val="single" w:color="000000" w:sz="0" w:space="0"/>
              <w:left w:val="single" w:color="000000" w:sz="0" w:space="0"/>
              <w:bottom w:val="single" w:color="000000" w:sz="0" w:space="0"/>
            </w:tcBorders>
          </w:tcPr>
          <w:p w14:paraId="5F77816C">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0.05</w:t>
            </w:r>
          </w:p>
        </w:tc>
        <w:tc>
          <w:tcPr>
            <w:tcBorders>
              <w:top w:val="single" w:color="000000" w:sz="0" w:space="0"/>
              <w:left w:val="single" w:color="000000" w:sz="0" w:space="0"/>
              <w:bottom w:val="single" w:color="000000" w:sz="0" w:space="0"/>
            </w:tcBorders>
          </w:tcPr>
          <w:p w14:paraId="51C4CF2B">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1/7</w:t>
            </w:r>
          </w:p>
        </w:tc>
      </w:tr>
      <w:tr w14:paraId="787C1F5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33ACFFD5">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qa</w:t>
            </w:r>
          </w:p>
        </w:tc>
        <w:tc>
          <w:tcPr>
            <w:tcBorders>
              <w:top w:val="single" w:color="000000" w:sz="0" w:space="0"/>
              <w:left w:val="single" w:color="000000" w:sz="0" w:space="0"/>
              <w:bottom w:val="single" w:color="000000" w:sz="0" w:space="0"/>
            </w:tcBorders>
          </w:tcPr>
          <w:p w14:paraId="4FC89F29">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0.20</w:t>
            </w:r>
          </w:p>
        </w:tc>
        <w:tc>
          <w:tcPr>
            <w:tcBorders>
              <w:top w:val="single" w:color="000000" w:sz="0" w:space="0"/>
              <w:left w:val="single" w:color="000000" w:sz="0" w:space="0"/>
              <w:bottom w:val="single" w:color="000000" w:sz="0" w:space="0"/>
            </w:tcBorders>
          </w:tcPr>
          <w:p w14:paraId="7623C962">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0.03</w:t>
            </w:r>
          </w:p>
        </w:tc>
        <w:tc>
          <w:tcPr>
            <w:tcBorders>
              <w:top w:val="single" w:color="000000" w:sz="0" w:space="0"/>
              <w:left w:val="single" w:color="000000" w:sz="0" w:space="0"/>
              <w:bottom w:val="single" w:color="000000" w:sz="0" w:space="0"/>
            </w:tcBorders>
          </w:tcPr>
          <w:p w14:paraId="51D92E18">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1/7</w:t>
            </w:r>
          </w:p>
        </w:tc>
      </w:tr>
      <w:tr w14:paraId="1DEA23B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1E1219FB">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reasoning</w:t>
            </w:r>
          </w:p>
        </w:tc>
        <w:tc>
          <w:tcPr>
            <w:tcBorders>
              <w:top w:val="single" w:color="000000" w:sz="0" w:space="0"/>
              <w:left w:val="single" w:color="000000" w:sz="0" w:space="0"/>
              <w:bottom w:val="single" w:color="000000" w:sz="0" w:space="0"/>
            </w:tcBorders>
          </w:tcPr>
          <w:p w14:paraId="7484EC79">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0.15</w:t>
            </w:r>
          </w:p>
        </w:tc>
        <w:tc>
          <w:tcPr>
            <w:tcBorders>
              <w:top w:val="single" w:color="000000" w:sz="0" w:space="0"/>
              <w:left w:val="single" w:color="000000" w:sz="0" w:space="0"/>
              <w:bottom w:val="single" w:color="000000" w:sz="0" w:space="0"/>
            </w:tcBorders>
          </w:tcPr>
          <w:p w14:paraId="2C848BD1">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0.02</w:t>
            </w:r>
          </w:p>
        </w:tc>
        <w:tc>
          <w:tcPr>
            <w:tcBorders>
              <w:top w:val="single" w:color="000000" w:sz="0" w:space="0"/>
              <w:left w:val="single" w:color="000000" w:sz="0" w:space="0"/>
              <w:bottom w:val="single" w:color="000000" w:sz="0" w:space="0"/>
            </w:tcBorders>
          </w:tcPr>
          <w:p w14:paraId="35C34CF2">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1/7</w:t>
            </w:r>
          </w:p>
        </w:tc>
      </w:tr>
      <w:tr w14:paraId="77D5236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46763394">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creative</w:t>
            </w:r>
          </w:p>
        </w:tc>
        <w:tc>
          <w:tcPr>
            <w:tcBorders>
              <w:top w:val="single" w:color="000000" w:sz="0" w:space="0"/>
              <w:left w:val="single" w:color="000000" w:sz="0" w:space="0"/>
              <w:bottom w:val="single" w:color="000000" w:sz="0" w:space="0"/>
            </w:tcBorders>
          </w:tcPr>
          <w:p w14:paraId="6CCC1D30">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0.05</w:t>
            </w:r>
          </w:p>
        </w:tc>
        <w:tc>
          <w:tcPr>
            <w:tcBorders>
              <w:top w:val="single" w:color="000000" w:sz="0" w:space="0"/>
              <w:left w:val="single" w:color="000000" w:sz="0" w:space="0"/>
              <w:bottom w:val="single" w:color="000000" w:sz="0" w:space="0"/>
            </w:tcBorders>
          </w:tcPr>
          <w:p w14:paraId="6CD12F0B">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0.35</w:t>
            </w:r>
          </w:p>
        </w:tc>
        <w:tc>
          <w:tcPr>
            <w:tcBorders>
              <w:top w:val="single" w:color="000000" w:sz="0" w:space="0"/>
              <w:left w:val="single" w:color="000000" w:sz="0" w:space="0"/>
              <w:bottom w:val="single" w:color="000000" w:sz="0" w:space="0"/>
            </w:tcBorders>
          </w:tcPr>
          <w:p w14:paraId="015C1219">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1/7</w:t>
            </w:r>
          </w:p>
        </w:tc>
      </w:tr>
      <w:tr w14:paraId="769E852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623A33D8">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summary</w:t>
            </w:r>
          </w:p>
        </w:tc>
        <w:tc>
          <w:tcPr>
            <w:tcBorders>
              <w:top w:val="single" w:color="000000" w:sz="0" w:space="0"/>
              <w:left w:val="single" w:color="000000" w:sz="0" w:space="0"/>
              <w:bottom w:val="single" w:color="000000" w:sz="0" w:space="0"/>
            </w:tcBorders>
          </w:tcPr>
          <w:p w14:paraId="42CDF433">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0.03</w:t>
            </w:r>
          </w:p>
        </w:tc>
        <w:tc>
          <w:tcPr>
            <w:tcBorders>
              <w:top w:val="single" w:color="000000" w:sz="0" w:space="0"/>
              <w:left w:val="single" w:color="000000" w:sz="0" w:space="0"/>
              <w:bottom w:val="single" w:color="000000" w:sz="0" w:space="0"/>
            </w:tcBorders>
          </w:tcPr>
          <w:p w14:paraId="31A70CBD">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0.25</w:t>
            </w:r>
          </w:p>
        </w:tc>
        <w:tc>
          <w:tcPr>
            <w:tcBorders>
              <w:top w:val="single" w:color="000000" w:sz="0" w:space="0"/>
              <w:left w:val="single" w:color="000000" w:sz="0" w:space="0"/>
              <w:bottom w:val="single" w:color="000000" w:sz="0" w:space="0"/>
            </w:tcBorders>
          </w:tcPr>
          <w:p w14:paraId="0E85819E">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1/7</w:t>
            </w:r>
          </w:p>
        </w:tc>
      </w:tr>
      <w:tr w14:paraId="55BB253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341818EB">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translation</w:t>
            </w:r>
          </w:p>
        </w:tc>
        <w:tc>
          <w:tcPr>
            <w:tcBorders>
              <w:top w:val="single" w:color="000000" w:sz="0" w:space="0"/>
              <w:left w:val="single" w:color="000000" w:sz="0" w:space="0"/>
              <w:bottom w:val="single" w:color="000000" w:sz="0" w:space="0"/>
            </w:tcBorders>
          </w:tcPr>
          <w:p w14:paraId="22A79E0F">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0.02</w:t>
            </w:r>
          </w:p>
        </w:tc>
        <w:tc>
          <w:tcPr>
            <w:tcBorders>
              <w:top w:val="single" w:color="000000" w:sz="0" w:space="0"/>
              <w:left w:val="single" w:color="000000" w:sz="0" w:space="0"/>
              <w:bottom w:val="single" w:color="000000" w:sz="0" w:space="0"/>
            </w:tcBorders>
          </w:tcPr>
          <w:p w14:paraId="7AE0A949">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0.20</w:t>
            </w:r>
          </w:p>
        </w:tc>
        <w:tc>
          <w:tcPr>
            <w:tcBorders>
              <w:top w:val="single" w:color="000000" w:sz="0" w:space="0"/>
              <w:left w:val="single" w:color="000000" w:sz="0" w:space="0"/>
              <w:bottom w:val="single" w:color="000000" w:sz="0" w:space="0"/>
            </w:tcBorders>
          </w:tcPr>
          <w:p w14:paraId="0EB4E3E9">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1/7</w:t>
            </w:r>
          </w:p>
        </w:tc>
      </w:tr>
    </w:tbl>
    <w:p w14:paraId="5EB50BBA">
      <w:pPr>
        <w:rPr>
          <w:rFonts w:ascii="Times New Roman" w:hAnsi="Times New Roman" w:eastAsia="宋体" w:cs="Times New Roman"/>
          <w:sz w:val="24"/>
          <w:szCs w:val="24"/>
        </w:rPr>
      </w:pPr>
    </w:p>
    <w:p w14:paraId="13373657">
      <w:pPr>
        <w:spacing w:before="240" w:line="271" w:lineRule="auto"/>
        <w:rPr>
          <w:rFonts w:ascii="Times New Roman" w:hAnsi="Times New Roman" w:eastAsia="宋体" w:cs="Times New Roman"/>
          <w:sz w:val="24"/>
          <w:szCs w:val="24"/>
        </w:rPr>
      </w:pPr>
      <w:bookmarkStart w:id="4" w:name="bm_4_3_2_三种偏好下的帕累托前沿"/>
      <w:r>
        <w:rPr>
          <w:rFonts w:ascii="Times New Roman" w:hAnsi="Times New Roman" w:eastAsia="宋体" w:cs="Times New Roman"/>
          <w:b/>
          <w:sz w:val="24"/>
          <w:szCs w:val="24"/>
        </w:rPr>
        <w:t>4.3.2 三种偏好下的帕累托前沿</w:t>
      </w:r>
      <w:bookmarkEnd w:id="4"/>
    </w:p>
    <w:p w14:paraId="3C73F3B6">
      <w:pPr>
        <w:spacing w:after="220"/>
        <w:rPr>
          <w:rFonts w:ascii="Times New Roman" w:hAnsi="Times New Roman" w:eastAsia="宋体" w:cs="Times New Roman"/>
          <w:sz w:val="24"/>
          <w:szCs w:val="24"/>
        </w:rPr>
      </w:pPr>
      <w:r>
        <w:rPr>
          <w:rFonts w:ascii="Times New Roman" w:hAnsi="Times New Roman" w:eastAsia="宋体" w:cs="Times New Roman"/>
          <w:sz w:val="24"/>
          <w:szCs w:val="24"/>
        </w:rPr>
        <w:t>基于上述综合质量得分，我们重新进行了三维帕累托前沿分析（目标：质量↑、能耗↓、速度↑）。图4‑X展示了三种偏好下的质量‑能耗前沿，表4‑5汇总了各场景的前沿模型及其关键指标。</w:t>
      </w:r>
    </w:p>
    <w:p w14:paraId="4D716403">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客观任务为主偏好</w:t>
      </w:r>
      <w:r>
        <w:rPr>
          <w:rFonts w:ascii="Times New Roman" w:hAnsi="Times New Roman" w:eastAsia="宋体" w:cs="Times New Roman"/>
          <w:sz w:val="24"/>
          <w:szCs w:val="24"/>
        </w:rPr>
        <w:t>（表4‑5a）的前沿仅包含两个模型：</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 与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 在质量上遥遥领先（1.170），同时能耗较低（1.320 J/token），速度尚可（42.93 tokens/s），成为该场景下的绝对主导者；</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 则以最低能耗（1.065 J/token）和最高速度（61.11 tokens/s）占据另一个极端，但质量得分仅为-0.467，表明其在客观任务上表现欠佳。这一结果符合客观任务对精确性要求高的特点：只有质量突出的模型才能进入前沿，速度与能耗成为次要因素。</w:t>
      </w:r>
    </w:p>
    <w:p w14:paraId="72FE287E">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主观任务为主偏好</w:t>
      </w:r>
      <w:r>
        <w:rPr>
          <w:rFonts w:ascii="Times New Roman" w:hAnsi="Times New Roman" w:eastAsia="宋体" w:cs="Times New Roman"/>
          <w:sz w:val="24"/>
          <w:szCs w:val="24"/>
        </w:rPr>
        <w:t>（表4‑5b）中，前沿模型扩展至四个：</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（质量1.364）、</w:t>
      </w:r>
      <w:r>
        <w:rPr>
          <w:rStyle w:val="12"/>
          <w:rFonts w:ascii="Times New Roman" w:hAnsi="Times New Roman" w:eastAsia="宋体" w:cs="Times New Roman"/>
          <w:sz w:val="24"/>
          <w:szCs w:val="24"/>
          <w:shd w:val="clear" w:color="auto" w:fill="F8F8FA"/>
        </w:rPr>
        <w:t>qwen25_7b_hf_4bit</w:t>
      </w:r>
      <w:r>
        <w:rPr>
          <w:rFonts w:ascii="Times New Roman" w:hAnsi="Times New Roman" w:eastAsia="宋体" w:cs="Times New Roman"/>
          <w:sz w:val="24"/>
          <w:szCs w:val="24"/>
        </w:rPr>
        <w:t>（质量0.911）、</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（质量0.412）和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（质量0.088）。有趣的是，</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虽然速度最慢（16.90 tokens/s），但其质量得分远超其他模型，成为拐点模型；而 </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以39.71 tokens/s的速度提供了中等质量，填补了中间区域。主观任务更看重创造性与语言表达能力，因此质量权重被放大，速度与能耗的约束相对宽松。</w:t>
      </w:r>
    </w:p>
    <w:p w14:paraId="2A20DF98">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均衡配置</w:t>
      </w:r>
      <w:r>
        <w:rPr>
          <w:rFonts w:ascii="Times New Roman" w:hAnsi="Times New Roman" w:eastAsia="宋体" w:cs="Times New Roman"/>
          <w:sz w:val="24"/>
          <w:szCs w:val="24"/>
        </w:rPr>
        <w:t>（表4‑5c）的前沿模型同样为四个：</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（质量1.022）、</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（质量0.726）、</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（质量0.364）和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质量-0.043）。该集合恰好覆盖了从高质量低速度到低质量高速度的完整权衡区间，体现了均衡偏好下多目标优化的典型特征：没有单一模型能同时占据三个目标的最优，用户需根据实际约束在帕累托边界上选择。</w:t>
      </w:r>
    </w:p>
    <w:p w14:paraId="3DEE305E">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表4-5 不同偏好下的帕累托前沿模型</w:t>
      </w:r>
    </w:p>
    <w:p w14:paraId="361EBF8E">
      <w:pPr>
        <w:spacing w:after="220"/>
        <w:rPr>
          <w:rFonts w:ascii="Times New Roman" w:hAnsi="Times New Roman" w:eastAsia="宋体" w:cs="Times New Roman"/>
          <w:sz w:val="24"/>
          <w:szCs w:val="24"/>
        </w:rPr>
      </w:pPr>
      <w:r>
        <w:rPr>
          <w:rFonts w:ascii="Times New Roman" w:hAnsi="Times New Roman" w:eastAsia="宋体" w:cs="Times New Roman"/>
          <w:sz w:val="24"/>
          <w:szCs w:val="24"/>
        </w:rPr>
        <w:t>(a) 客观任务为主</w:t>
      </w:r>
    </w:p>
    <w:tbl>
      <w:tblPr>
        <w:tblStyle w:val="11"/>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80" w:type="dxa"/>
          <w:left w:w="160" w:type="dxa"/>
          <w:bottom w:w="80" w:type="dxa"/>
          <w:right w:w="160" w:type="dxa"/>
        </w:tblCellMar>
      </w:tblPr>
      <w:tblGrid>
        <w:gridCol w:w="2247"/>
        <w:gridCol w:w="909"/>
        <w:gridCol w:w="1741"/>
        <w:gridCol w:w="1990"/>
        <w:gridCol w:w="1781"/>
      </w:tblGrid>
      <w:tr w14:paraId="6EA3A92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247" w:type="dxa"/>
            <w:tcBorders>
              <w:top w:val="single" w:color="000000" w:sz="0" w:space="0"/>
              <w:bottom w:val="single" w:color="000000" w:sz="0" w:space="0"/>
            </w:tcBorders>
          </w:tcPr>
          <w:p w14:paraId="47AC3015">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模型</w:t>
            </w:r>
          </w:p>
        </w:tc>
        <w:tc>
          <w:tcPr>
            <w:tcW w:w="909" w:type="dxa"/>
            <w:tcBorders>
              <w:top w:val="single" w:color="000000" w:sz="0" w:space="0"/>
              <w:left w:val="single" w:color="000000" w:sz="0" w:space="0"/>
              <w:bottom w:val="single" w:color="000000" w:sz="0" w:space="0"/>
            </w:tcBorders>
          </w:tcPr>
          <w:p w14:paraId="2BA11884">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质量</w:t>
            </w:r>
          </w:p>
        </w:tc>
        <w:tc>
          <w:tcPr>
            <w:tcW w:w="1741" w:type="dxa"/>
            <w:tcBorders>
              <w:top w:val="single" w:color="000000" w:sz="0" w:space="0"/>
              <w:left w:val="single" w:color="000000" w:sz="0" w:space="0"/>
              <w:bottom w:val="single" w:color="000000" w:sz="0" w:space="0"/>
            </w:tcBorders>
          </w:tcPr>
          <w:p w14:paraId="26B724E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能耗 (J/token)</w:t>
            </w:r>
          </w:p>
        </w:tc>
        <w:tc>
          <w:tcPr>
            <w:tcW w:w="1990" w:type="dxa"/>
            <w:tcBorders>
              <w:top w:val="single" w:color="000000" w:sz="0" w:space="0"/>
              <w:left w:val="single" w:color="000000" w:sz="0" w:space="0"/>
              <w:bottom w:val="single" w:color="000000" w:sz="0" w:space="0"/>
            </w:tcBorders>
          </w:tcPr>
          <w:p w14:paraId="53AE2E1A">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速度 (tokens/s)</w:t>
            </w:r>
          </w:p>
        </w:tc>
        <w:tc>
          <w:tcPr>
            <w:tcW w:w="1781" w:type="dxa"/>
            <w:tcBorders>
              <w:top w:val="single" w:color="000000" w:sz="0" w:space="0"/>
              <w:left w:val="single" w:color="000000" w:sz="0" w:space="0"/>
              <w:bottom w:val="single" w:color="000000" w:sz="0" w:space="0"/>
            </w:tcBorders>
          </w:tcPr>
          <w:p w14:paraId="663BD75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是否三维前沿</w:t>
            </w:r>
          </w:p>
        </w:tc>
      </w:tr>
      <w:tr w14:paraId="60B2E32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247" w:type="dxa"/>
            <w:tcBorders>
              <w:top w:val="single" w:color="000000" w:sz="0" w:space="0"/>
              <w:bottom w:val="single" w:color="000000" w:sz="0" w:space="0"/>
            </w:tcBorders>
          </w:tcPr>
          <w:p w14:paraId="6D04C9CC">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gemma_4b_ol_q4km</w:t>
            </w:r>
          </w:p>
        </w:tc>
        <w:tc>
          <w:tcPr>
            <w:tcW w:w="909" w:type="dxa"/>
            <w:tcBorders>
              <w:top w:val="single" w:color="000000" w:sz="0" w:space="0"/>
              <w:left w:val="single" w:color="000000" w:sz="0" w:space="0"/>
              <w:bottom w:val="single" w:color="000000" w:sz="0" w:space="0"/>
            </w:tcBorders>
          </w:tcPr>
          <w:p w14:paraId="31FD9DB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1.170</w:t>
            </w:r>
          </w:p>
        </w:tc>
        <w:tc>
          <w:tcPr>
            <w:tcW w:w="1741" w:type="dxa"/>
            <w:tcBorders>
              <w:top w:val="single" w:color="000000" w:sz="0" w:space="0"/>
              <w:left w:val="single" w:color="000000" w:sz="0" w:space="0"/>
              <w:bottom w:val="single" w:color="000000" w:sz="0" w:space="0"/>
            </w:tcBorders>
          </w:tcPr>
          <w:p w14:paraId="0909C4A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1.320</w:t>
            </w:r>
          </w:p>
        </w:tc>
        <w:tc>
          <w:tcPr>
            <w:tcW w:w="1990" w:type="dxa"/>
            <w:tcBorders>
              <w:top w:val="single" w:color="000000" w:sz="0" w:space="0"/>
              <w:left w:val="single" w:color="000000" w:sz="0" w:space="0"/>
              <w:bottom w:val="single" w:color="000000" w:sz="0" w:space="0"/>
            </w:tcBorders>
          </w:tcPr>
          <w:p w14:paraId="5170F4D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42.93</w:t>
            </w:r>
          </w:p>
        </w:tc>
        <w:tc>
          <w:tcPr>
            <w:tcW w:w="1781" w:type="dxa"/>
            <w:tcBorders>
              <w:top w:val="single" w:color="000000" w:sz="0" w:space="0"/>
              <w:left w:val="single" w:color="000000" w:sz="0" w:space="0"/>
              <w:bottom w:val="single" w:color="000000" w:sz="0" w:space="0"/>
            </w:tcBorders>
          </w:tcPr>
          <w:p w14:paraId="798D62A7">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r w14:paraId="17BA05A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247" w:type="dxa"/>
            <w:tcBorders>
              <w:top w:val="single" w:color="000000" w:sz="0" w:space="0"/>
              <w:bottom w:val="single" w:color="000000" w:sz="0" w:space="0"/>
            </w:tcBorders>
          </w:tcPr>
          <w:p w14:paraId="0649143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qwen_4b_ol_q4km</w:t>
            </w:r>
          </w:p>
        </w:tc>
        <w:tc>
          <w:tcPr>
            <w:tcW w:w="909" w:type="dxa"/>
            <w:tcBorders>
              <w:top w:val="single" w:color="000000" w:sz="0" w:space="0"/>
              <w:left w:val="single" w:color="000000" w:sz="0" w:space="0"/>
              <w:bottom w:val="single" w:color="000000" w:sz="0" w:space="0"/>
            </w:tcBorders>
          </w:tcPr>
          <w:p w14:paraId="19A7D0F7">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-0.467</w:t>
            </w:r>
          </w:p>
        </w:tc>
        <w:tc>
          <w:tcPr>
            <w:tcW w:w="1741" w:type="dxa"/>
            <w:tcBorders>
              <w:top w:val="single" w:color="000000" w:sz="0" w:space="0"/>
              <w:left w:val="single" w:color="000000" w:sz="0" w:space="0"/>
              <w:bottom w:val="single" w:color="000000" w:sz="0" w:space="0"/>
            </w:tcBorders>
          </w:tcPr>
          <w:p w14:paraId="4FFE1E16">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1.065</w:t>
            </w:r>
          </w:p>
        </w:tc>
        <w:tc>
          <w:tcPr>
            <w:tcW w:w="1990" w:type="dxa"/>
            <w:tcBorders>
              <w:top w:val="single" w:color="000000" w:sz="0" w:space="0"/>
              <w:left w:val="single" w:color="000000" w:sz="0" w:space="0"/>
              <w:bottom w:val="single" w:color="000000" w:sz="0" w:space="0"/>
            </w:tcBorders>
          </w:tcPr>
          <w:p w14:paraId="0DB125C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61.11</w:t>
            </w:r>
          </w:p>
        </w:tc>
        <w:tc>
          <w:tcPr>
            <w:tcW w:w="1781" w:type="dxa"/>
            <w:tcBorders>
              <w:top w:val="single" w:color="000000" w:sz="0" w:space="0"/>
              <w:left w:val="single" w:color="000000" w:sz="0" w:space="0"/>
              <w:bottom w:val="single" w:color="000000" w:sz="0" w:space="0"/>
            </w:tcBorders>
          </w:tcPr>
          <w:p w14:paraId="0A234F7A">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bl>
    <w:p w14:paraId="556F177C">
      <w:pPr>
        <w:rPr>
          <w:rFonts w:ascii="Times New Roman" w:hAnsi="Times New Roman" w:eastAsia="宋体" w:cs="Times New Roman"/>
          <w:sz w:val="24"/>
          <w:szCs w:val="24"/>
        </w:rPr>
      </w:pPr>
    </w:p>
    <w:p w14:paraId="3E11C92F">
      <w:pPr>
        <w:spacing w:after="220"/>
        <w:rPr>
          <w:rFonts w:ascii="Times New Roman" w:hAnsi="Times New Roman" w:eastAsia="宋体" w:cs="Times New Roman"/>
          <w:sz w:val="24"/>
          <w:szCs w:val="24"/>
        </w:rPr>
      </w:pPr>
      <w:r>
        <w:rPr>
          <w:rFonts w:ascii="Times New Roman" w:hAnsi="Times New Roman" w:eastAsia="宋体" w:cs="Times New Roman"/>
          <w:sz w:val="24"/>
          <w:szCs w:val="24"/>
        </w:rPr>
        <w:t>(b) 主观任务为主</w:t>
      </w:r>
    </w:p>
    <w:tbl>
      <w:tblPr>
        <w:tblStyle w:val="11"/>
        <w:tblW w:w="8654"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80" w:type="dxa"/>
          <w:left w:w="160" w:type="dxa"/>
          <w:bottom w:w="80" w:type="dxa"/>
          <w:right w:w="160" w:type="dxa"/>
        </w:tblCellMar>
      </w:tblPr>
      <w:tblGrid>
        <w:gridCol w:w="2461"/>
        <w:gridCol w:w="937"/>
        <w:gridCol w:w="1713"/>
        <w:gridCol w:w="1806"/>
        <w:gridCol w:w="1737"/>
      </w:tblGrid>
      <w:tr w14:paraId="406977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tcBorders>
              <w:top w:val="single" w:color="000000" w:sz="0" w:space="0"/>
              <w:bottom w:val="single" w:color="000000" w:sz="0" w:space="0"/>
            </w:tcBorders>
          </w:tcPr>
          <w:p w14:paraId="79CC559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模型</w:t>
            </w:r>
          </w:p>
        </w:tc>
        <w:tc>
          <w:tcPr>
            <w:tcW w:w="937" w:type="dxa"/>
            <w:tcBorders>
              <w:top w:val="single" w:color="000000" w:sz="0" w:space="0"/>
              <w:left w:val="single" w:color="000000" w:sz="0" w:space="0"/>
              <w:bottom w:val="single" w:color="000000" w:sz="0" w:space="0"/>
            </w:tcBorders>
          </w:tcPr>
          <w:p w14:paraId="58AFE30C">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质量</w:t>
            </w:r>
          </w:p>
        </w:tc>
        <w:tc>
          <w:tcPr>
            <w:tcW w:w="1713" w:type="dxa"/>
            <w:tcBorders>
              <w:top w:val="single" w:color="000000" w:sz="0" w:space="0"/>
              <w:left w:val="single" w:color="000000" w:sz="0" w:space="0"/>
              <w:bottom w:val="single" w:color="000000" w:sz="0" w:space="0"/>
            </w:tcBorders>
          </w:tcPr>
          <w:p w14:paraId="173AE806">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能耗 (J/token)</w:t>
            </w:r>
          </w:p>
        </w:tc>
        <w:tc>
          <w:tcPr>
            <w:tcW w:w="1806" w:type="dxa"/>
            <w:tcBorders>
              <w:top w:val="single" w:color="000000" w:sz="0" w:space="0"/>
              <w:left w:val="single" w:color="000000" w:sz="0" w:space="0"/>
              <w:bottom w:val="single" w:color="000000" w:sz="0" w:space="0"/>
            </w:tcBorders>
          </w:tcPr>
          <w:p w14:paraId="7CA38518">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速度 (tokens/s)</w:t>
            </w:r>
          </w:p>
        </w:tc>
        <w:tc>
          <w:tcPr>
            <w:tcW w:w="1737" w:type="dxa"/>
            <w:tcBorders>
              <w:top w:val="single" w:color="000000" w:sz="0" w:space="0"/>
              <w:left w:val="single" w:color="000000" w:sz="0" w:space="0"/>
              <w:bottom w:val="single" w:color="000000" w:sz="0" w:space="0"/>
            </w:tcBorders>
          </w:tcPr>
          <w:p w14:paraId="7506732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是否三维前沿</w:t>
            </w:r>
          </w:p>
        </w:tc>
      </w:tr>
      <w:tr w14:paraId="730C6CE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tcBorders>
              <w:top w:val="single" w:color="000000" w:sz="0" w:space="0"/>
              <w:bottom w:val="single" w:color="000000" w:sz="0" w:space="0"/>
            </w:tcBorders>
          </w:tcPr>
          <w:p w14:paraId="6FBF5FB0">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qwen25_3b_hf_4bit</w:t>
            </w:r>
          </w:p>
        </w:tc>
        <w:tc>
          <w:tcPr>
            <w:tcW w:w="937" w:type="dxa"/>
            <w:tcBorders>
              <w:top w:val="single" w:color="000000" w:sz="0" w:space="0"/>
              <w:left w:val="single" w:color="000000" w:sz="0" w:space="0"/>
              <w:bottom w:val="single" w:color="000000" w:sz="0" w:space="0"/>
            </w:tcBorders>
          </w:tcPr>
          <w:p w14:paraId="2E8343E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1.364</w:t>
            </w:r>
          </w:p>
        </w:tc>
        <w:tc>
          <w:tcPr>
            <w:tcW w:w="1713" w:type="dxa"/>
            <w:tcBorders>
              <w:top w:val="single" w:color="000000" w:sz="0" w:space="0"/>
              <w:left w:val="single" w:color="000000" w:sz="0" w:space="0"/>
              <w:bottom w:val="single" w:color="000000" w:sz="0" w:space="0"/>
            </w:tcBorders>
          </w:tcPr>
          <w:p w14:paraId="318AE53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1.582</w:t>
            </w:r>
          </w:p>
        </w:tc>
        <w:tc>
          <w:tcPr>
            <w:tcW w:w="1806" w:type="dxa"/>
            <w:tcBorders>
              <w:top w:val="single" w:color="000000" w:sz="0" w:space="0"/>
              <w:left w:val="single" w:color="000000" w:sz="0" w:space="0"/>
              <w:bottom w:val="single" w:color="000000" w:sz="0" w:space="0"/>
            </w:tcBorders>
          </w:tcPr>
          <w:p w14:paraId="6584ABBD">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16.90</w:t>
            </w:r>
          </w:p>
        </w:tc>
        <w:tc>
          <w:tcPr>
            <w:tcW w:w="1737" w:type="dxa"/>
            <w:tcBorders>
              <w:top w:val="single" w:color="000000" w:sz="0" w:space="0"/>
              <w:left w:val="single" w:color="000000" w:sz="0" w:space="0"/>
              <w:bottom w:val="single" w:color="000000" w:sz="0" w:space="0"/>
            </w:tcBorders>
          </w:tcPr>
          <w:p w14:paraId="77BCD678">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r w14:paraId="1903E97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tcBorders>
              <w:top w:val="single" w:color="000000" w:sz="0" w:space="0"/>
              <w:bottom w:val="single" w:color="000000" w:sz="0" w:space="0"/>
            </w:tcBorders>
          </w:tcPr>
          <w:p w14:paraId="290AE784">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qwen25_7b_hf_4bit</w:t>
            </w:r>
          </w:p>
        </w:tc>
        <w:tc>
          <w:tcPr>
            <w:tcW w:w="937" w:type="dxa"/>
            <w:tcBorders>
              <w:top w:val="single" w:color="000000" w:sz="0" w:space="0"/>
              <w:left w:val="single" w:color="000000" w:sz="0" w:space="0"/>
              <w:bottom w:val="single" w:color="000000" w:sz="0" w:space="0"/>
            </w:tcBorders>
          </w:tcPr>
          <w:p w14:paraId="47BF0A11">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0.911</w:t>
            </w:r>
          </w:p>
        </w:tc>
        <w:tc>
          <w:tcPr>
            <w:tcW w:w="1713" w:type="dxa"/>
            <w:tcBorders>
              <w:top w:val="single" w:color="000000" w:sz="0" w:space="0"/>
              <w:left w:val="single" w:color="000000" w:sz="0" w:space="0"/>
              <w:bottom w:val="single" w:color="000000" w:sz="0" w:space="0"/>
            </w:tcBorders>
          </w:tcPr>
          <w:p w14:paraId="475F06B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3.142</w:t>
            </w:r>
          </w:p>
        </w:tc>
        <w:tc>
          <w:tcPr>
            <w:tcW w:w="1806" w:type="dxa"/>
            <w:tcBorders>
              <w:top w:val="single" w:color="000000" w:sz="0" w:space="0"/>
              <w:left w:val="single" w:color="000000" w:sz="0" w:space="0"/>
              <w:bottom w:val="single" w:color="000000" w:sz="0" w:space="0"/>
            </w:tcBorders>
          </w:tcPr>
          <w:p w14:paraId="1A864E4A">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18.93</w:t>
            </w:r>
          </w:p>
        </w:tc>
        <w:tc>
          <w:tcPr>
            <w:tcW w:w="1737" w:type="dxa"/>
            <w:tcBorders>
              <w:top w:val="single" w:color="000000" w:sz="0" w:space="0"/>
              <w:left w:val="single" w:color="000000" w:sz="0" w:space="0"/>
              <w:bottom w:val="single" w:color="000000" w:sz="0" w:space="0"/>
            </w:tcBorders>
          </w:tcPr>
          <w:p w14:paraId="1E8F0034">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r w14:paraId="612DD8D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tcBorders>
              <w:top w:val="single" w:color="000000" w:sz="0" w:space="0"/>
              <w:bottom w:val="single" w:color="000000" w:sz="0" w:space="0"/>
            </w:tcBorders>
          </w:tcPr>
          <w:p w14:paraId="3BC7F72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c>
          <w:tcPr>
            <w:tcW w:w="937" w:type="dxa"/>
            <w:tcBorders>
              <w:top w:val="single" w:color="000000" w:sz="0" w:space="0"/>
              <w:left w:val="single" w:color="000000" w:sz="0" w:space="0"/>
              <w:bottom w:val="single" w:color="000000" w:sz="0" w:space="0"/>
            </w:tcBorders>
          </w:tcPr>
          <w:p w14:paraId="3CF5053A">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0.412</w:t>
            </w:r>
          </w:p>
        </w:tc>
        <w:tc>
          <w:tcPr>
            <w:tcW w:w="1713" w:type="dxa"/>
            <w:tcBorders>
              <w:top w:val="single" w:color="000000" w:sz="0" w:space="0"/>
              <w:left w:val="single" w:color="000000" w:sz="0" w:space="0"/>
              <w:bottom w:val="single" w:color="000000" w:sz="0" w:space="0"/>
            </w:tcBorders>
          </w:tcPr>
          <w:p w14:paraId="4280FE1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1.924</w:t>
            </w:r>
          </w:p>
        </w:tc>
        <w:tc>
          <w:tcPr>
            <w:tcW w:w="1806" w:type="dxa"/>
            <w:tcBorders>
              <w:top w:val="single" w:color="000000" w:sz="0" w:space="0"/>
              <w:left w:val="single" w:color="000000" w:sz="0" w:space="0"/>
              <w:bottom w:val="single" w:color="000000" w:sz="0" w:space="0"/>
            </w:tcBorders>
          </w:tcPr>
          <w:p w14:paraId="793EC55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39.71</w:t>
            </w:r>
          </w:p>
        </w:tc>
        <w:tc>
          <w:tcPr>
            <w:tcW w:w="1737" w:type="dxa"/>
            <w:tcBorders>
              <w:top w:val="single" w:color="000000" w:sz="0" w:space="0"/>
              <w:left w:val="single" w:color="000000" w:sz="0" w:space="0"/>
              <w:bottom w:val="single" w:color="000000" w:sz="0" w:space="0"/>
            </w:tcBorders>
          </w:tcPr>
          <w:p w14:paraId="5AF1A867">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r w14:paraId="3F8E718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tcBorders>
              <w:top w:val="single" w:color="000000" w:sz="0" w:space="0"/>
              <w:bottom w:val="single" w:color="000000" w:sz="0" w:space="0"/>
            </w:tcBorders>
          </w:tcPr>
          <w:p w14:paraId="47900E45">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qwen_4b_ol_q4km</w:t>
            </w:r>
          </w:p>
        </w:tc>
        <w:tc>
          <w:tcPr>
            <w:tcW w:w="937" w:type="dxa"/>
            <w:tcBorders>
              <w:top w:val="single" w:color="000000" w:sz="0" w:space="0"/>
              <w:left w:val="single" w:color="000000" w:sz="0" w:space="0"/>
              <w:bottom w:val="single" w:color="000000" w:sz="0" w:space="0"/>
            </w:tcBorders>
          </w:tcPr>
          <w:p w14:paraId="22E9AB70">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0.088</w:t>
            </w:r>
          </w:p>
        </w:tc>
        <w:tc>
          <w:tcPr>
            <w:tcW w:w="1713" w:type="dxa"/>
            <w:tcBorders>
              <w:top w:val="single" w:color="000000" w:sz="0" w:space="0"/>
              <w:left w:val="single" w:color="000000" w:sz="0" w:space="0"/>
              <w:bottom w:val="single" w:color="000000" w:sz="0" w:space="0"/>
            </w:tcBorders>
          </w:tcPr>
          <w:p w14:paraId="48D94D7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1.065</w:t>
            </w:r>
          </w:p>
        </w:tc>
        <w:tc>
          <w:tcPr>
            <w:tcW w:w="1806" w:type="dxa"/>
            <w:tcBorders>
              <w:top w:val="single" w:color="000000" w:sz="0" w:space="0"/>
              <w:left w:val="single" w:color="000000" w:sz="0" w:space="0"/>
              <w:bottom w:val="single" w:color="000000" w:sz="0" w:space="0"/>
            </w:tcBorders>
          </w:tcPr>
          <w:p w14:paraId="06C9A45C">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61.11</w:t>
            </w:r>
          </w:p>
        </w:tc>
        <w:tc>
          <w:tcPr>
            <w:tcW w:w="1737" w:type="dxa"/>
            <w:tcBorders>
              <w:top w:val="single" w:color="000000" w:sz="0" w:space="0"/>
              <w:left w:val="single" w:color="000000" w:sz="0" w:space="0"/>
              <w:bottom w:val="single" w:color="000000" w:sz="0" w:space="0"/>
            </w:tcBorders>
          </w:tcPr>
          <w:p w14:paraId="0004D78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bl>
    <w:p w14:paraId="5C3E0E76">
      <w:pPr>
        <w:rPr>
          <w:rFonts w:ascii="Times New Roman" w:hAnsi="Times New Roman" w:eastAsia="宋体" w:cs="Times New Roman"/>
          <w:sz w:val="24"/>
          <w:szCs w:val="24"/>
        </w:rPr>
      </w:pPr>
    </w:p>
    <w:p w14:paraId="00835633">
      <w:pPr>
        <w:spacing w:after="220"/>
        <w:rPr>
          <w:rFonts w:ascii="Times New Roman" w:hAnsi="Times New Roman" w:eastAsia="宋体" w:cs="Times New Roman"/>
          <w:sz w:val="24"/>
          <w:szCs w:val="24"/>
        </w:rPr>
      </w:pPr>
      <w:r>
        <w:rPr>
          <w:rFonts w:ascii="Times New Roman" w:hAnsi="Times New Roman" w:eastAsia="宋体" w:cs="Times New Roman"/>
          <w:sz w:val="24"/>
          <w:szCs w:val="24"/>
        </w:rPr>
        <w:t>(c) 均衡配置</w:t>
      </w:r>
    </w:p>
    <w:tbl>
      <w:tblPr>
        <w:tblStyle w:val="11"/>
        <w:tblW w:w="8587"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354"/>
        <w:gridCol w:w="1083"/>
        <w:gridCol w:w="1682"/>
        <w:gridCol w:w="1760"/>
        <w:gridCol w:w="1708"/>
      </w:tblGrid>
      <w:tr w14:paraId="0740A17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tcBorders>
              <w:top w:val="single" w:color="000000" w:sz="0" w:space="0"/>
              <w:bottom w:val="single" w:color="000000" w:sz="0" w:space="0"/>
            </w:tcBorders>
          </w:tcPr>
          <w:p w14:paraId="2DE764A0">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模型</w:t>
            </w:r>
          </w:p>
        </w:tc>
        <w:tc>
          <w:tcPr>
            <w:tcW w:w="1083" w:type="dxa"/>
            <w:tcBorders>
              <w:top w:val="single" w:color="000000" w:sz="0" w:space="0"/>
              <w:left w:val="single" w:color="000000" w:sz="0" w:space="0"/>
              <w:bottom w:val="single" w:color="000000" w:sz="0" w:space="0"/>
            </w:tcBorders>
          </w:tcPr>
          <w:p w14:paraId="124CBF3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质量</w:t>
            </w:r>
          </w:p>
        </w:tc>
        <w:tc>
          <w:tcPr>
            <w:tcW w:w="1682" w:type="dxa"/>
            <w:tcBorders>
              <w:top w:val="single" w:color="000000" w:sz="0" w:space="0"/>
              <w:left w:val="single" w:color="000000" w:sz="0" w:space="0"/>
              <w:bottom w:val="single" w:color="000000" w:sz="0" w:space="0"/>
            </w:tcBorders>
          </w:tcPr>
          <w:p w14:paraId="5A4CE45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能耗 (J/token)</w:t>
            </w:r>
          </w:p>
        </w:tc>
        <w:tc>
          <w:tcPr>
            <w:tcW w:w="1760" w:type="dxa"/>
            <w:tcBorders>
              <w:top w:val="single" w:color="000000" w:sz="0" w:space="0"/>
              <w:left w:val="single" w:color="000000" w:sz="0" w:space="0"/>
              <w:bottom w:val="single" w:color="000000" w:sz="0" w:space="0"/>
            </w:tcBorders>
          </w:tcPr>
          <w:p w14:paraId="23757ED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速度 (tokens/s)</w:t>
            </w:r>
          </w:p>
        </w:tc>
        <w:tc>
          <w:tcPr>
            <w:tcW w:w="1708" w:type="dxa"/>
            <w:tcBorders>
              <w:top w:val="single" w:color="000000" w:sz="0" w:space="0"/>
              <w:left w:val="single" w:color="000000" w:sz="0" w:space="0"/>
              <w:bottom w:val="single" w:color="000000" w:sz="0" w:space="0"/>
            </w:tcBorders>
          </w:tcPr>
          <w:p w14:paraId="76A4DC28">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是否三维前沿</w:t>
            </w:r>
          </w:p>
        </w:tc>
      </w:tr>
      <w:tr w14:paraId="6CFE9CA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tcBorders>
              <w:top w:val="single" w:color="000000" w:sz="0" w:space="0"/>
              <w:bottom w:val="single" w:color="000000" w:sz="0" w:space="0"/>
            </w:tcBorders>
          </w:tcPr>
          <w:p w14:paraId="1DC60944">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qwen25_3b_hf_4bit</w:t>
            </w:r>
          </w:p>
        </w:tc>
        <w:tc>
          <w:tcPr>
            <w:tcW w:w="1083" w:type="dxa"/>
            <w:tcBorders>
              <w:top w:val="single" w:color="000000" w:sz="0" w:space="0"/>
              <w:left w:val="single" w:color="000000" w:sz="0" w:space="0"/>
              <w:bottom w:val="single" w:color="000000" w:sz="0" w:space="0"/>
            </w:tcBorders>
          </w:tcPr>
          <w:p w14:paraId="4F669B0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1.022</w:t>
            </w:r>
          </w:p>
        </w:tc>
        <w:tc>
          <w:tcPr>
            <w:tcW w:w="1682" w:type="dxa"/>
            <w:tcBorders>
              <w:top w:val="single" w:color="000000" w:sz="0" w:space="0"/>
              <w:left w:val="single" w:color="000000" w:sz="0" w:space="0"/>
              <w:bottom w:val="single" w:color="000000" w:sz="0" w:space="0"/>
            </w:tcBorders>
          </w:tcPr>
          <w:p w14:paraId="54AC967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1.582</w:t>
            </w:r>
          </w:p>
        </w:tc>
        <w:tc>
          <w:tcPr>
            <w:tcW w:w="1760" w:type="dxa"/>
            <w:tcBorders>
              <w:top w:val="single" w:color="000000" w:sz="0" w:space="0"/>
              <w:left w:val="single" w:color="000000" w:sz="0" w:space="0"/>
              <w:bottom w:val="single" w:color="000000" w:sz="0" w:space="0"/>
            </w:tcBorders>
          </w:tcPr>
          <w:p w14:paraId="38062C47">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16.90</w:t>
            </w:r>
          </w:p>
        </w:tc>
        <w:tc>
          <w:tcPr>
            <w:tcW w:w="1708" w:type="dxa"/>
            <w:tcBorders>
              <w:top w:val="single" w:color="000000" w:sz="0" w:space="0"/>
              <w:left w:val="single" w:color="000000" w:sz="0" w:space="0"/>
              <w:bottom w:val="single" w:color="000000" w:sz="0" w:space="0"/>
            </w:tcBorders>
          </w:tcPr>
          <w:p w14:paraId="0E89255C">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r w14:paraId="675763C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tcBorders>
              <w:top w:val="single" w:color="000000" w:sz="0" w:space="0"/>
              <w:bottom w:val="single" w:color="000000" w:sz="0" w:space="0"/>
            </w:tcBorders>
          </w:tcPr>
          <w:p w14:paraId="4411B37A">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c>
          <w:tcPr>
            <w:tcW w:w="1083" w:type="dxa"/>
            <w:tcBorders>
              <w:top w:val="single" w:color="000000" w:sz="0" w:space="0"/>
              <w:left w:val="single" w:color="000000" w:sz="0" w:space="0"/>
              <w:bottom w:val="single" w:color="000000" w:sz="0" w:space="0"/>
            </w:tcBorders>
          </w:tcPr>
          <w:p w14:paraId="5EA93BCC">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0.726</w:t>
            </w:r>
          </w:p>
        </w:tc>
        <w:tc>
          <w:tcPr>
            <w:tcW w:w="1682" w:type="dxa"/>
            <w:tcBorders>
              <w:top w:val="single" w:color="000000" w:sz="0" w:space="0"/>
              <w:left w:val="single" w:color="000000" w:sz="0" w:space="0"/>
              <w:bottom w:val="single" w:color="000000" w:sz="0" w:space="0"/>
            </w:tcBorders>
          </w:tcPr>
          <w:p w14:paraId="3DD2FED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1.924</w:t>
            </w:r>
          </w:p>
        </w:tc>
        <w:tc>
          <w:tcPr>
            <w:tcW w:w="1760" w:type="dxa"/>
            <w:tcBorders>
              <w:top w:val="single" w:color="000000" w:sz="0" w:space="0"/>
              <w:left w:val="single" w:color="000000" w:sz="0" w:space="0"/>
              <w:bottom w:val="single" w:color="000000" w:sz="0" w:space="0"/>
            </w:tcBorders>
          </w:tcPr>
          <w:p w14:paraId="1F3F6E1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39.71</w:t>
            </w:r>
          </w:p>
        </w:tc>
        <w:tc>
          <w:tcPr>
            <w:tcW w:w="1708" w:type="dxa"/>
            <w:tcBorders>
              <w:top w:val="single" w:color="000000" w:sz="0" w:space="0"/>
              <w:left w:val="single" w:color="000000" w:sz="0" w:space="0"/>
              <w:bottom w:val="single" w:color="000000" w:sz="0" w:space="0"/>
            </w:tcBorders>
          </w:tcPr>
          <w:p w14:paraId="08D6F7E7">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r w14:paraId="7F4EDC4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tcBorders>
              <w:top w:val="single" w:color="000000" w:sz="0" w:space="0"/>
              <w:bottom w:val="single" w:color="000000" w:sz="0" w:space="0"/>
            </w:tcBorders>
          </w:tcPr>
          <w:p w14:paraId="38A2C46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gemma_4b_ol_q4km</w:t>
            </w:r>
          </w:p>
        </w:tc>
        <w:tc>
          <w:tcPr>
            <w:tcW w:w="1083" w:type="dxa"/>
            <w:tcBorders>
              <w:top w:val="single" w:color="000000" w:sz="0" w:space="0"/>
              <w:left w:val="single" w:color="000000" w:sz="0" w:space="0"/>
              <w:bottom w:val="single" w:color="000000" w:sz="0" w:space="0"/>
            </w:tcBorders>
          </w:tcPr>
          <w:p w14:paraId="263AFFF6">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0.364</w:t>
            </w:r>
          </w:p>
        </w:tc>
        <w:tc>
          <w:tcPr>
            <w:tcW w:w="1682" w:type="dxa"/>
            <w:tcBorders>
              <w:top w:val="single" w:color="000000" w:sz="0" w:space="0"/>
              <w:left w:val="single" w:color="000000" w:sz="0" w:space="0"/>
              <w:bottom w:val="single" w:color="000000" w:sz="0" w:space="0"/>
            </w:tcBorders>
          </w:tcPr>
          <w:p w14:paraId="6C46EB6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1.320</w:t>
            </w:r>
          </w:p>
        </w:tc>
        <w:tc>
          <w:tcPr>
            <w:tcW w:w="1760" w:type="dxa"/>
            <w:tcBorders>
              <w:top w:val="single" w:color="000000" w:sz="0" w:space="0"/>
              <w:left w:val="single" w:color="000000" w:sz="0" w:space="0"/>
              <w:bottom w:val="single" w:color="000000" w:sz="0" w:space="0"/>
            </w:tcBorders>
          </w:tcPr>
          <w:p w14:paraId="102B5F8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42.93</w:t>
            </w:r>
          </w:p>
        </w:tc>
        <w:tc>
          <w:tcPr>
            <w:tcW w:w="1708" w:type="dxa"/>
            <w:tcBorders>
              <w:top w:val="single" w:color="000000" w:sz="0" w:space="0"/>
              <w:left w:val="single" w:color="000000" w:sz="0" w:space="0"/>
              <w:bottom w:val="single" w:color="000000" w:sz="0" w:space="0"/>
            </w:tcBorders>
          </w:tcPr>
          <w:p w14:paraId="6E0DB6E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r w14:paraId="300AA7C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tcBorders>
              <w:top w:val="single" w:color="000000" w:sz="0" w:space="0"/>
              <w:bottom w:val="single" w:color="000000" w:sz="0" w:space="0"/>
            </w:tcBorders>
          </w:tcPr>
          <w:p w14:paraId="2B942E88">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qwen_4b_ol_q4km</w:t>
            </w:r>
          </w:p>
        </w:tc>
        <w:tc>
          <w:tcPr>
            <w:tcW w:w="1083" w:type="dxa"/>
            <w:tcBorders>
              <w:top w:val="single" w:color="000000" w:sz="0" w:space="0"/>
              <w:left w:val="single" w:color="000000" w:sz="0" w:space="0"/>
              <w:bottom w:val="single" w:color="000000" w:sz="0" w:space="0"/>
            </w:tcBorders>
          </w:tcPr>
          <w:p w14:paraId="398445A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-0.043</w:t>
            </w:r>
          </w:p>
        </w:tc>
        <w:tc>
          <w:tcPr>
            <w:tcW w:w="1682" w:type="dxa"/>
            <w:tcBorders>
              <w:top w:val="single" w:color="000000" w:sz="0" w:space="0"/>
              <w:left w:val="single" w:color="000000" w:sz="0" w:space="0"/>
              <w:bottom w:val="single" w:color="000000" w:sz="0" w:space="0"/>
            </w:tcBorders>
          </w:tcPr>
          <w:p w14:paraId="2D480A0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1.065</w:t>
            </w:r>
          </w:p>
        </w:tc>
        <w:tc>
          <w:tcPr>
            <w:tcW w:w="1760" w:type="dxa"/>
            <w:tcBorders>
              <w:top w:val="single" w:color="000000" w:sz="0" w:space="0"/>
              <w:left w:val="single" w:color="000000" w:sz="0" w:space="0"/>
              <w:bottom w:val="single" w:color="000000" w:sz="0" w:space="0"/>
            </w:tcBorders>
          </w:tcPr>
          <w:p w14:paraId="4021F07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61.11</w:t>
            </w:r>
          </w:p>
        </w:tc>
        <w:tc>
          <w:tcPr>
            <w:tcW w:w="1708" w:type="dxa"/>
            <w:tcBorders>
              <w:top w:val="single" w:color="000000" w:sz="0" w:space="0"/>
              <w:left w:val="single" w:color="000000" w:sz="0" w:space="0"/>
              <w:bottom w:val="single" w:color="000000" w:sz="0" w:space="0"/>
            </w:tcBorders>
          </w:tcPr>
          <w:p w14:paraId="2FA01CBA">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w:t>
            </w:r>
          </w:p>
        </w:tc>
      </w:tr>
    </w:tbl>
    <w:p w14:paraId="6ED3E8E4">
      <w:pPr>
        <w:rPr>
          <w:rFonts w:ascii="Times New Roman" w:hAnsi="Times New Roman" w:eastAsia="宋体" w:cs="Times New Roman"/>
          <w:sz w:val="24"/>
          <w:szCs w:val="24"/>
        </w:rPr>
      </w:pPr>
    </w:p>
    <w:p w14:paraId="2AA0B7B1">
      <w:pPr>
        <w:spacing w:before="240" w:line="271" w:lineRule="auto"/>
        <w:rPr>
          <w:rFonts w:ascii="Times New Roman" w:hAnsi="Times New Roman" w:eastAsia="宋体" w:cs="Times New Roman"/>
          <w:sz w:val="24"/>
          <w:szCs w:val="24"/>
        </w:rPr>
      </w:pPr>
      <w:bookmarkStart w:id="5" w:name="bm_4_3_3_定量指标与稳健性检验"/>
      <w:r>
        <w:rPr>
          <w:rFonts w:ascii="Times New Roman" w:hAnsi="Times New Roman" w:eastAsia="宋体" w:cs="Times New Roman"/>
          <w:b/>
          <w:sz w:val="24"/>
          <w:szCs w:val="24"/>
        </w:rPr>
        <w:t>4.3.3 定量指标与稳健性检验</w:t>
      </w:r>
      <w:bookmarkEnd w:id="5"/>
    </w:p>
    <w:p w14:paraId="6EA55479">
      <w:pPr>
        <w:spacing w:after="220"/>
        <w:rPr>
          <w:rFonts w:ascii="Times New Roman" w:hAnsi="Times New Roman" w:eastAsia="宋体" w:cs="Times New Roman"/>
          <w:sz w:val="24"/>
          <w:szCs w:val="24"/>
        </w:rPr>
      </w:pPr>
      <w:r>
        <w:rPr>
          <w:rFonts w:ascii="Times New Roman" w:hAnsi="Times New Roman" w:eastAsia="宋体" w:cs="Times New Roman"/>
          <w:sz w:val="24"/>
          <w:szCs w:val="24"/>
        </w:rPr>
        <w:t>为量化前沿质量，我们计算了质量‑能耗二维空间的</w:t>
      </w:r>
      <w:r>
        <w:rPr>
          <w:rFonts w:ascii="Times New Roman" w:hAnsi="Times New Roman" w:eastAsia="宋体" w:cs="Times New Roman"/>
          <w:b/>
          <w:sz w:val="24"/>
          <w:szCs w:val="24"/>
        </w:rPr>
        <w:t>超体积</w:t>
      </w:r>
      <w:r>
        <w:rPr>
          <w:rFonts w:ascii="Times New Roman" w:hAnsi="Times New Roman" w:eastAsia="宋体" w:cs="Times New Roman"/>
          <w:sz w:val="24"/>
          <w:szCs w:val="24"/>
        </w:rPr>
        <w:t>与</w:t>
      </w:r>
      <w:r>
        <w:rPr>
          <w:rFonts w:ascii="Times New Roman" w:hAnsi="Times New Roman" w:eastAsia="宋体" w:cs="Times New Roman"/>
          <w:b/>
          <w:sz w:val="24"/>
          <w:szCs w:val="24"/>
        </w:rPr>
        <w:t>间距指标</w:t>
      </w:r>
      <w:r>
        <w:rPr>
          <w:rFonts w:ascii="Times New Roman" w:hAnsi="Times New Roman" w:eastAsia="宋体" w:cs="Times New Roman"/>
          <w:sz w:val="24"/>
          <w:szCs w:val="24"/>
        </w:rPr>
        <w:t>（表4‑6）。客观偏好下的超体积最大（0.9193），表明其前沿覆盖区域较广；主观偏好下超体积略低（0.8605），但间距指标为零，说明前沿模型分布均匀。均衡配置的超体积为0.8995，间距为0.05，处于中间水平。</w:t>
      </w:r>
    </w:p>
    <w:p w14:paraId="7B6A2A55">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表4-6 不同偏好下的定量指标</w:t>
      </w:r>
    </w:p>
    <w:tbl>
      <w:tblPr>
        <w:tblStyle w:val="11"/>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85"/>
        <w:gridCol w:w="2560"/>
        <w:gridCol w:w="1280"/>
        <w:gridCol w:w="2365"/>
      </w:tblGrid>
      <w:tr w14:paraId="038854E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367FF631">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偏好场景</w:t>
            </w:r>
          </w:p>
        </w:tc>
        <w:tc>
          <w:tcPr>
            <w:tcBorders>
              <w:top w:val="single" w:color="000000" w:sz="0" w:space="0"/>
              <w:left w:val="single" w:color="000000" w:sz="0" w:space="0"/>
              <w:bottom w:val="single" w:color="000000" w:sz="0" w:space="0"/>
            </w:tcBorders>
          </w:tcPr>
          <w:p w14:paraId="222A961F">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超体积（质量-能耗）</w:t>
            </w:r>
          </w:p>
        </w:tc>
        <w:tc>
          <w:tcPr>
            <w:tcBorders>
              <w:top w:val="single" w:color="000000" w:sz="0" w:space="0"/>
              <w:left w:val="single" w:color="000000" w:sz="0" w:space="0"/>
              <w:bottom w:val="single" w:color="000000" w:sz="0" w:space="0"/>
            </w:tcBorders>
          </w:tcPr>
          <w:p w14:paraId="09618769">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间距指标</w:t>
            </w:r>
          </w:p>
        </w:tc>
        <w:tc>
          <w:tcPr>
            <w:tcBorders>
              <w:top w:val="single" w:color="000000" w:sz="0" w:space="0"/>
              <w:left w:val="single" w:color="000000" w:sz="0" w:space="0"/>
              <w:bottom w:val="single" w:color="000000" w:sz="0" w:space="0"/>
            </w:tcBorders>
          </w:tcPr>
          <w:p w14:paraId="4622229F">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拐点模型</w:t>
            </w:r>
          </w:p>
        </w:tc>
      </w:tr>
      <w:tr w14:paraId="170CE8F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1381C514">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客观为主</w:t>
            </w:r>
          </w:p>
        </w:tc>
        <w:tc>
          <w:tcPr>
            <w:tcBorders>
              <w:top w:val="single" w:color="000000" w:sz="0" w:space="0"/>
              <w:left w:val="single" w:color="000000" w:sz="0" w:space="0"/>
              <w:bottom w:val="single" w:color="000000" w:sz="0" w:space="0"/>
            </w:tcBorders>
          </w:tcPr>
          <w:p w14:paraId="51F5AE5F">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0.9193</w:t>
            </w:r>
          </w:p>
        </w:tc>
        <w:tc>
          <w:tcPr>
            <w:tcBorders>
              <w:top w:val="single" w:color="000000" w:sz="0" w:space="0"/>
              <w:left w:val="single" w:color="000000" w:sz="0" w:space="0"/>
              <w:bottom w:val="single" w:color="000000" w:sz="0" w:space="0"/>
            </w:tcBorders>
          </w:tcPr>
          <w:p w14:paraId="5B85A917">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0.0000</w:t>
            </w:r>
          </w:p>
        </w:tc>
        <w:tc>
          <w:tcPr>
            <w:tcBorders>
              <w:top w:val="single" w:color="000000" w:sz="0" w:space="0"/>
              <w:left w:val="single" w:color="000000" w:sz="0" w:space="0"/>
              <w:bottom w:val="single" w:color="000000" w:sz="0" w:space="0"/>
            </w:tcBorders>
          </w:tcPr>
          <w:p w14:paraId="598C14BE">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gemma_4b_ol_q4km</w:t>
            </w:r>
          </w:p>
        </w:tc>
      </w:tr>
      <w:tr w14:paraId="3AC47DA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54236928">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主观为主</w:t>
            </w:r>
          </w:p>
        </w:tc>
        <w:tc>
          <w:tcPr>
            <w:tcBorders>
              <w:top w:val="single" w:color="000000" w:sz="0" w:space="0"/>
              <w:left w:val="single" w:color="000000" w:sz="0" w:space="0"/>
              <w:bottom w:val="single" w:color="000000" w:sz="0" w:space="0"/>
            </w:tcBorders>
          </w:tcPr>
          <w:p w14:paraId="6394FB47">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0.8605</w:t>
            </w:r>
          </w:p>
        </w:tc>
        <w:tc>
          <w:tcPr>
            <w:tcBorders>
              <w:top w:val="single" w:color="000000" w:sz="0" w:space="0"/>
              <w:left w:val="single" w:color="000000" w:sz="0" w:space="0"/>
              <w:bottom w:val="single" w:color="000000" w:sz="0" w:space="0"/>
            </w:tcBorders>
          </w:tcPr>
          <w:p w14:paraId="445E5F28">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0.0000</w:t>
            </w:r>
          </w:p>
        </w:tc>
        <w:tc>
          <w:tcPr>
            <w:tcBorders>
              <w:top w:val="single" w:color="000000" w:sz="0" w:space="0"/>
              <w:left w:val="single" w:color="000000" w:sz="0" w:space="0"/>
              <w:bottom w:val="single" w:color="000000" w:sz="0" w:space="0"/>
            </w:tcBorders>
          </w:tcPr>
          <w:p w14:paraId="17CF1ADD">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qwen25_3b_hf_4bit</w:t>
            </w:r>
          </w:p>
        </w:tc>
      </w:tr>
      <w:tr w14:paraId="0028C07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6C0AD1DA">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均衡配置</w:t>
            </w:r>
          </w:p>
        </w:tc>
        <w:tc>
          <w:tcPr>
            <w:tcBorders>
              <w:top w:val="single" w:color="000000" w:sz="0" w:space="0"/>
              <w:left w:val="single" w:color="000000" w:sz="0" w:space="0"/>
              <w:bottom w:val="single" w:color="000000" w:sz="0" w:space="0"/>
            </w:tcBorders>
          </w:tcPr>
          <w:p w14:paraId="6840CDD5">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0.8995</w:t>
            </w:r>
          </w:p>
        </w:tc>
        <w:tc>
          <w:tcPr>
            <w:tcBorders>
              <w:top w:val="single" w:color="000000" w:sz="0" w:space="0"/>
              <w:left w:val="single" w:color="000000" w:sz="0" w:space="0"/>
              <w:bottom w:val="single" w:color="000000" w:sz="0" w:space="0"/>
            </w:tcBorders>
          </w:tcPr>
          <w:p w14:paraId="2F09A50E">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0.0500</w:t>
            </w:r>
          </w:p>
        </w:tc>
        <w:tc>
          <w:tcPr>
            <w:tcBorders>
              <w:top w:val="single" w:color="000000" w:sz="0" w:space="0"/>
              <w:left w:val="single" w:color="000000" w:sz="0" w:space="0"/>
              <w:bottom w:val="single" w:color="000000" w:sz="0" w:space="0"/>
            </w:tcBorders>
          </w:tcPr>
          <w:p w14:paraId="7121C095">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gemma_4b_ol_q4km</w:t>
            </w:r>
          </w:p>
        </w:tc>
      </w:tr>
    </w:tbl>
    <w:p w14:paraId="6F6B6353">
      <w:pPr>
        <w:rPr>
          <w:rFonts w:ascii="Times New Roman" w:hAnsi="Times New Roman" w:eastAsia="宋体" w:cs="Times New Roman"/>
          <w:sz w:val="24"/>
          <w:szCs w:val="24"/>
        </w:rPr>
      </w:pPr>
    </w:p>
    <w:p w14:paraId="5C996D6D">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扰动分析</w:t>
      </w:r>
      <w:r>
        <w:rPr>
          <w:rFonts w:ascii="Times New Roman" w:hAnsi="Times New Roman" w:eastAsia="宋体" w:cs="Times New Roman"/>
          <w:sz w:val="24"/>
          <w:szCs w:val="24"/>
        </w:rPr>
        <w:t>（±5%噪声，100次迭代）显示，所有场景下质量‑能耗前沿的</w:t>
      </w:r>
      <w:r>
        <w:rPr>
          <w:rFonts w:ascii="Times New Roman" w:hAnsi="Times New Roman" w:eastAsia="宋体" w:cs="Times New Roman"/>
          <w:b/>
          <w:sz w:val="24"/>
          <w:szCs w:val="24"/>
        </w:rPr>
        <w:t>一致性</w:t>
      </w:r>
      <w:r>
        <w:rPr>
          <w:rFonts w:ascii="Times New Roman" w:hAnsi="Times New Roman" w:eastAsia="宋体" w:cs="Times New Roman"/>
          <w:sz w:val="24"/>
          <w:szCs w:val="24"/>
        </w:rPr>
        <w:t>均达到100%，表明前沿识别对微小测量误差不敏感。</w:t>
      </w:r>
      <w:r>
        <w:rPr>
          <w:rFonts w:ascii="Times New Roman" w:hAnsi="Times New Roman" w:eastAsia="宋体" w:cs="Times New Roman"/>
          <w:b/>
          <w:sz w:val="24"/>
          <w:szCs w:val="24"/>
        </w:rPr>
        <w:t>5折交叉验证</w:t>
      </w:r>
      <w:r>
        <w:rPr>
          <w:rFonts w:ascii="Times New Roman" w:hAnsi="Times New Roman" w:eastAsia="宋体" w:cs="Times New Roman"/>
          <w:sz w:val="24"/>
          <w:szCs w:val="24"/>
        </w:rPr>
        <w:t>的一致性分别为60.0%（客观）、66.7%（主观）和86.7%（均衡），均衡配置的稳健性最高，而客观偏好下由于前沿模型极少，样本波动容易导致某些模型被遗漏，一致性相对较低，但核心模型（</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 和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）在80%以上的折中出现，稳定性良好。</w:t>
      </w:r>
    </w:p>
    <w:p w14:paraId="457E72DA">
      <w:pPr>
        <w:spacing w:before="240" w:line="271" w:lineRule="auto"/>
        <w:rPr>
          <w:rFonts w:ascii="Times New Roman" w:hAnsi="Times New Roman" w:eastAsia="宋体" w:cs="Times New Roman"/>
          <w:sz w:val="24"/>
          <w:szCs w:val="24"/>
        </w:rPr>
      </w:pPr>
      <w:bookmarkStart w:id="6" w:name="bm_4_3_4_与单任务分析的对比"/>
      <w:r>
        <w:rPr>
          <w:rFonts w:ascii="Times New Roman" w:hAnsi="Times New Roman" w:eastAsia="宋体" w:cs="Times New Roman"/>
          <w:b/>
          <w:sz w:val="24"/>
          <w:szCs w:val="24"/>
        </w:rPr>
        <w:t>4.3.4 与单任务分析的对比</w:t>
      </w:r>
      <w:bookmarkEnd w:id="6"/>
    </w:p>
    <w:p w14:paraId="6A0C150D">
      <w:pPr>
        <w:spacing w:after="220"/>
        <w:rPr>
          <w:rFonts w:ascii="Times New Roman" w:hAnsi="Times New Roman" w:eastAsia="宋体" w:cs="Times New Roman"/>
          <w:sz w:val="24"/>
          <w:szCs w:val="24"/>
        </w:rPr>
      </w:pPr>
      <w:r>
        <w:rPr>
          <w:rFonts w:ascii="Times New Roman" w:hAnsi="Times New Roman" w:eastAsia="宋体" w:cs="Times New Roman"/>
          <w:sz w:val="24"/>
          <w:szCs w:val="24"/>
        </w:rPr>
        <w:t>与4.2节各任务的单任务帕累托前沿相比，混合任务分析呈现以下特点：</w:t>
      </w:r>
    </w:p>
    <w:p w14:paraId="771CD9B3">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多任务整合</w:t>
      </w:r>
      <w:r>
        <w:rPr>
          <w:rFonts w:ascii="Times New Roman" w:hAnsi="Times New Roman" w:eastAsia="宋体" w:cs="Times New Roman"/>
          <w:sz w:val="24"/>
          <w:szCs w:val="24"/>
        </w:rPr>
        <w:t xml:space="preserve">使得某些在单一任务上并非最优的模型因综合表现均衡而进入前沿，例如 </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在主观偏好下进入前沿，但其在个别主观任务（如创意）上并非最顶尖，却凭借跨任务稳定性和较高速度胜出。</w:t>
      </w:r>
    </w:p>
    <w:p w14:paraId="1153CE6C">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任务难度加权</w:t>
      </w:r>
      <w:r>
        <w:rPr>
          <w:rFonts w:ascii="Times New Roman" w:hAnsi="Times New Roman" w:eastAsia="宋体" w:cs="Times New Roman"/>
          <w:sz w:val="24"/>
          <w:szCs w:val="24"/>
        </w:rPr>
        <w:t xml:space="preserve">放大了困难任务的作用。例如，数学与代码任务的难度通常较高，因此在这些任务上表现优异的 </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在均衡与主观偏好中仍占据高质量端点，尽管其速度较慢。</w:t>
      </w:r>
    </w:p>
    <w:p w14:paraId="43231D6D">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用户偏好</w:t>
      </w:r>
      <w:r>
        <w:rPr>
          <w:rFonts w:ascii="Times New Roman" w:hAnsi="Times New Roman" w:eastAsia="宋体" w:cs="Times New Roman"/>
          <w:sz w:val="24"/>
          <w:szCs w:val="24"/>
        </w:rPr>
        <w:t>显著改变了前沿构成。客观偏好下，仅有质量顶尖且能耗较低的模型存活；主观偏好则允许更多样化的模型共存，体现了创造力任务对速度与能耗的容忍度更高。</w:t>
      </w:r>
    </w:p>
    <w:p w14:paraId="55BD1732">
      <w:pPr>
        <w:spacing w:before="240" w:line="271" w:lineRule="auto"/>
        <w:rPr>
          <w:rFonts w:ascii="Times New Roman" w:hAnsi="Times New Roman" w:eastAsia="宋体" w:cs="Times New Roman"/>
          <w:sz w:val="24"/>
          <w:szCs w:val="24"/>
        </w:rPr>
      </w:pPr>
      <w:bookmarkStart w:id="7" w:name="bm_4_3_5_推荐配置与场景适配"/>
      <w:r>
        <w:rPr>
          <w:rFonts w:ascii="Times New Roman" w:hAnsi="Times New Roman" w:eastAsia="宋体" w:cs="Times New Roman"/>
          <w:b/>
          <w:sz w:val="24"/>
          <w:szCs w:val="24"/>
        </w:rPr>
        <w:t>4.3.5 推荐配置与场景适配</w:t>
      </w:r>
      <w:bookmarkEnd w:id="7"/>
    </w:p>
    <w:p w14:paraId="120CC0BC">
      <w:pPr>
        <w:spacing w:after="220"/>
        <w:rPr>
          <w:rFonts w:ascii="Times New Roman" w:hAnsi="Times New Roman" w:eastAsia="宋体" w:cs="Times New Roman"/>
          <w:sz w:val="24"/>
          <w:szCs w:val="24"/>
        </w:rPr>
      </w:pPr>
      <w:r>
        <w:rPr>
          <w:rFonts w:ascii="Times New Roman" w:hAnsi="Times New Roman" w:eastAsia="宋体" w:cs="Times New Roman"/>
          <w:sz w:val="24"/>
          <w:szCs w:val="24"/>
        </w:rPr>
        <w:t>基于拐点分析，我们为每种偏好场景推荐了</w:t>
      </w:r>
      <w:r>
        <w:rPr>
          <w:rFonts w:ascii="Times New Roman" w:hAnsi="Times New Roman" w:eastAsia="宋体" w:cs="Times New Roman"/>
          <w:b/>
          <w:sz w:val="24"/>
          <w:szCs w:val="24"/>
        </w:rPr>
        <w:t>最佳综合配置</w:t>
      </w:r>
      <w:r>
        <w:rPr>
          <w:rFonts w:ascii="Times New Roman" w:hAnsi="Times New Roman" w:eastAsia="宋体" w:cs="Times New Roman"/>
          <w:sz w:val="24"/>
          <w:szCs w:val="24"/>
        </w:rPr>
        <w:t>：</w:t>
      </w:r>
    </w:p>
    <w:p w14:paraId="49080241">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客观任务为主</w:t>
      </w:r>
      <w:r>
        <w:rPr>
          <w:rFonts w:ascii="Times New Roman" w:hAnsi="Times New Roman" w:eastAsia="宋体" w:cs="Times New Roman"/>
          <w:sz w:val="24"/>
          <w:szCs w:val="24"/>
        </w:rPr>
        <w:t>：</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（拐点模型），在质量与能耗间取得最优权衡，适合技术类应用。</w:t>
      </w:r>
    </w:p>
    <w:p w14:paraId="46C22030">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主观任务为主</w:t>
      </w:r>
      <w:r>
        <w:rPr>
          <w:rFonts w:ascii="Times New Roman" w:hAnsi="Times New Roman" w:eastAsia="宋体" w:cs="Times New Roman"/>
          <w:sz w:val="24"/>
          <w:szCs w:val="24"/>
        </w:rPr>
        <w:t>：</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（拐点模型），质量最高，尽管速度较慢，但能满足内容创作对生成质量的高要求。</w:t>
      </w:r>
    </w:p>
    <w:p w14:paraId="5D1F0556">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均衡配置</w:t>
      </w:r>
      <w:r>
        <w:rPr>
          <w:rFonts w:ascii="Times New Roman" w:hAnsi="Times New Roman" w:eastAsia="宋体" w:cs="Times New Roman"/>
          <w:sz w:val="24"/>
          <w:szCs w:val="24"/>
        </w:rPr>
        <w:t>：</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，在质量、能耗、速度三者间达到平衡，是通用场景下的安全选择。</w:t>
      </w:r>
    </w:p>
    <w:p w14:paraId="6B7D7739">
      <w:pPr>
        <w:spacing w:after="220"/>
        <w:rPr>
          <w:rFonts w:ascii="Times New Roman" w:hAnsi="Times New Roman" w:eastAsia="宋体" w:cs="Times New Roman"/>
          <w:sz w:val="24"/>
          <w:szCs w:val="24"/>
        </w:rPr>
      </w:pPr>
      <w:r>
        <w:rPr>
          <w:rFonts w:ascii="Times New Roman" w:hAnsi="Times New Roman" w:eastAsia="宋体" w:cs="Times New Roman"/>
          <w:sz w:val="24"/>
          <w:szCs w:val="24"/>
        </w:rPr>
        <w:t>若用户追求</w:t>
      </w:r>
      <w:r>
        <w:rPr>
          <w:rFonts w:ascii="Times New Roman" w:hAnsi="Times New Roman" w:eastAsia="宋体" w:cs="Times New Roman"/>
          <w:b/>
          <w:sz w:val="24"/>
          <w:szCs w:val="24"/>
        </w:rPr>
        <w:t>最低能耗</w:t>
      </w:r>
      <w:r>
        <w:rPr>
          <w:rFonts w:ascii="Times New Roman" w:hAnsi="Times New Roman" w:eastAsia="宋体" w:cs="Times New Roman"/>
          <w:sz w:val="24"/>
          <w:szCs w:val="24"/>
        </w:rPr>
        <w:t>或</w:t>
      </w:r>
      <w:r>
        <w:rPr>
          <w:rFonts w:ascii="Times New Roman" w:hAnsi="Times New Roman" w:eastAsia="宋体" w:cs="Times New Roman"/>
          <w:b/>
          <w:sz w:val="24"/>
          <w:szCs w:val="24"/>
        </w:rPr>
        <w:t>最快速度</w:t>
      </w:r>
      <w:r>
        <w:rPr>
          <w:rFonts w:ascii="Times New Roman" w:hAnsi="Times New Roman" w:eastAsia="宋体" w:cs="Times New Roman"/>
          <w:sz w:val="24"/>
          <w:szCs w:val="24"/>
        </w:rPr>
        <w:t>，则无论偏好如何，</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 均是最优选项，但其质量在所有偏好下均垫底，需谨慎权衡。</w:t>
      </w:r>
    </w:p>
    <w:p w14:paraId="6E5C1947">
      <w:pPr>
        <w:spacing w:after="220"/>
        <w:rPr>
          <w:rFonts w:ascii="Times New Roman" w:hAnsi="Times New Roman" w:eastAsia="宋体" w:cs="Times New Roman"/>
          <w:sz w:val="24"/>
          <w:szCs w:val="24"/>
        </w:rPr>
      </w:pPr>
      <w:r>
        <w:rPr>
          <w:rFonts w:ascii="Times New Roman" w:hAnsi="Times New Roman" w:eastAsia="宋体" w:cs="Times New Roman"/>
          <w:sz w:val="24"/>
          <w:szCs w:val="24"/>
        </w:rPr>
        <w:t>综上，混合任务分析揭示了模型在多任务环境下的能‑质‑速三维权衡，并证明了任务难度与用户偏好对最优模型选择的关键影响。该框架为实际部署中的模型选型提供了可量化的决策依据。</w:t>
      </w:r>
    </w:p>
    <w:p w14:paraId="02048E86">
      <w:pPr>
        <w:spacing w:before="240" w:line="271" w:lineRule="auto"/>
        <w:rPr>
          <w:rFonts w:ascii="Times New Roman" w:hAnsi="Times New Roman" w:eastAsia="宋体" w:cs="Times New Roman"/>
          <w:sz w:val="24"/>
          <w:szCs w:val="24"/>
        </w:rPr>
      </w:pPr>
      <w:bookmarkStart w:id="8" w:name="bm_4_4_权重敏感性分析"/>
      <w:r>
        <w:rPr>
          <w:rFonts w:ascii="Times New Roman" w:hAnsi="Times New Roman" w:eastAsia="宋体" w:cs="Times New Roman"/>
          <w:b/>
          <w:sz w:val="24"/>
          <w:szCs w:val="24"/>
        </w:rPr>
        <w:t>4.4 权重敏感性分析</w:t>
      </w:r>
      <w:bookmarkEnd w:id="8"/>
    </w:p>
    <w:p w14:paraId="19700BFD">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在前述混合任务分析中，我们引入了用户偏好权重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来调节不同任务的重要性。然而，权重的选择具有一定主观性，其结果是否稳健、是否会因权重微调而发生剧烈变化，是需要验证的关键问题。为此，我们开展</w:t>
      </w:r>
      <w:r>
        <w:rPr>
          <w:rFonts w:ascii="Times New Roman" w:hAnsi="Times New Roman" w:eastAsia="宋体" w:cs="Times New Roman"/>
          <w:b/>
          <w:sz w:val="24"/>
          <w:szCs w:val="24"/>
        </w:rPr>
        <w:t>权重敏感性分析</w:t>
      </w:r>
      <w:r>
        <w:rPr>
          <w:rFonts w:ascii="Times New Roman" w:hAnsi="Times New Roman" w:eastAsia="宋体" w:cs="Times New Roman"/>
          <w:sz w:val="24"/>
          <w:szCs w:val="24"/>
        </w:rPr>
        <w:t>，考察综合质量得分及模型排名对权重扰动的敏感程度。</w:t>
      </w:r>
    </w:p>
    <w:p w14:paraId="5DCA13B8">
      <w:pPr>
        <w:spacing w:before="240" w:line="271" w:lineRule="auto"/>
        <w:rPr>
          <w:rFonts w:ascii="Times New Roman" w:hAnsi="Times New Roman" w:eastAsia="宋体" w:cs="Times New Roman"/>
          <w:sz w:val="24"/>
          <w:szCs w:val="24"/>
        </w:rPr>
      </w:pPr>
      <w:bookmarkStart w:id="9" w:name="bm_4_4_1_分析目的与方法"/>
      <w:r>
        <w:rPr>
          <w:rFonts w:ascii="Times New Roman" w:hAnsi="Times New Roman" w:eastAsia="宋体" w:cs="Times New Roman"/>
          <w:b/>
          <w:sz w:val="24"/>
          <w:szCs w:val="24"/>
        </w:rPr>
        <w:t>4.4.1 分析目的与方法</w:t>
      </w:r>
      <w:bookmarkEnd w:id="9"/>
    </w:p>
    <w:p w14:paraId="4B580667">
      <w:pPr>
        <w:spacing w:after="220"/>
        <w:rPr>
          <w:rFonts w:ascii="Times New Roman" w:hAnsi="Times New Roman" w:eastAsia="宋体" w:cs="Times New Roman"/>
          <w:sz w:val="24"/>
          <w:szCs w:val="24"/>
        </w:rPr>
      </w:pPr>
      <w:r>
        <w:rPr>
          <w:rFonts w:ascii="Times New Roman" w:hAnsi="Times New Roman" w:eastAsia="宋体" w:cs="Times New Roman"/>
          <w:sz w:val="24"/>
          <w:szCs w:val="24"/>
        </w:rPr>
        <w:t>敏感性分析旨在回答以下问题：</w:t>
      </w:r>
    </w:p>
    <w:p w14:paraId="38F8CC22">
      <w:pPr>
        <w:numPr>
          <w:ilvl w:val="0"/>
          <w:numId w:val="1"/>
        </w:numPr>
        <w:rPr>
          <w:rFonts w:ascii="Times New Roman" w:hAnsi="Times New Roman" w:eastAsia="宋体" w:cs="Times New Roman"/>
          <w:sz w:val="24"/>
          <w:szCs w:val="24"/>
        </w:rPr>
      </w:pPr>
      <w:r>
        <w:rPr>
          <w:rFonts w:ascii="Times New Roman" w:hAnsi="Times New Roman" w:eastAsia="宋体" w:cs="Times New Roman"/>
          <w:sz w:val="24"/>
          <w:szCs w:val="24"/>
        </w:rPr>
        <w:t>当用户偏好权重发生微小变化时，模型排名是否保持稳定？</w:t>
      </w:r>
    </w:p>
    <w:p w14:paraId="0BE1D406">
      <w:pPr>
        <w:numPr>
          <w:ilvl w:val="0"/>
          <w:numId w:val="1"/>
        </w:numPr>
        <w:rPr>
          <w:rFonts w:ascii="Times New Roman" w:hAnsi="Times New Roman" w:eastAsia="宋体" w:cs="Times New Roman"/>
          <w:sz w:val="24"/>
          <w:szCs w:val="24"/>
        </w:rPr>
      </w:pPr>
      <w:r>
        <w:rPr>
          <w:rFonts w:ascii="Times New Roman" w:hAnsi="Times New Roman" w:eastAsia="宋体" w:cs="Times New Roman"/>
          <w:sz w:val="24"/>
          <w:szCs w:val="24"/>
        </w:rPr>
        <w:t>哪些模型对权重变化更为敏感？哪些模型表现稳定？</w:t>
      </w:r>
    </w:p>
    <w:p w14:paraId="301AE9B4">
      <w:pPr>
        <w:numPr>
          <w:ilvl w:val="0"/>
          <w:numId w:val="1"/>
        </w:numPr>
        <w:rPr>
          <w:rFonts w:ascii="Times New Roman" w:hAnsi="Times New Roman" w:eastAsia="宋体" w:cs="Times New Roman"/>
          <w:sz w:val="24"/>
          <w:szCs w:val="24"/>
        </w:rPr>
      </w:pPr>
      <w:r>
        <w:rPr>
          <w:rFonts w:ascii="Times New Roman" w:hAnsi="Times New Roman" w:eastAsia="宋体" w:cs="Times New Roman"/>
          <w:sz w:val="24"/>
          <w:szCs w:val="24"/>
        </w:rPr>
        <w:t>是否存在一个“通用”权重配置，能在多数偏好下提供可靠的排名？</w:t>
      </w:r>
    </w:p>
    <w:p w14:paraId="57EAAAF2">
      <w:pPr>
        <w:spacing w:after="220"/>
        <w:rPr>
          <w:rFonts w:ascii="Times New Roman" w:hAnsi="Times New Roman" w:eastAsia="宋体" w:cs="Times New Roman"/>
          <w:sz w:val="24"/>
          <w:szCs w:val="24"/>
        </w:rPr>
      </w:pPr>
      <w:r>
        <w:rPr>
          <w:rFonts w:ascii="Times New Roman" w:hAnsi="Times New Roman" w:eastAsia="宋体" w:cs="Times New Roman"/>
          <w:sz w:val="24"/>
          <w:szCs w:val="24"/>
        </w:rPr>
        <w:t>我们采用两种互补的分析方法：</w:t>
      </w:r>
    </w:p>
    <w:p w14:paraId="653FDD7F">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局部扰动分析</w:t>
      </w:r>
      <w:r>
        <w:rPr>
          <w:rFonts w:ascii="Times New Roman" w:hAnsi="Times New Roman" w:eastAsia="宋体" w:cs="Times New Roman"/>
          <w:sz w:val="24"/>
          <w:szCs w:val="24"/>
        </w:rPr>
        <w:t>：以三种典型偏好（客观为主、主观为主、均衡）为基准，对权重施加正态分布随机扰动（幅度分别为 10%、20%、30%、50%），重复 100 次，计算扰动后排名与基准排名的 Spearman 秩相关系数、Kendall τ 系数以及 Top-3 稳定性（前 3 名模型与基准一致的频率）。</w:t>
      </w:r>
    </w:p>
    <w:p w14:paraId="02BA2163">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全局敏感性分析</w:t>
      </w:r>
      <w:r>
        <w:rPr>
          <w:rFonts w:ascii="Times New Roman" w:hAnsi="Times New Roman" w:eastAsia="宋体" w:cs="Times New Roman"/>
          <w:sz w:val="24"/>
          <w:szCs w:val="24"/>
        </w:rPr>
        <w:t>：在权重空间中进行网格搜索与随机采样，生成 1000 组不同权重配置，计算所有配置下模型排名的两两相关性，以及各模型得分的方差，从而识别对权重变化高度敏感的模型。</w:t>
      </w:r>
    </w:p>
    <w:p w14:paraId="7D97A128">
      <w:pPr>
        <w:spacing w:before="240" w:line="271" w:lineRule="auto"/>
        <w:rPr>
          <w:rFonts w:ascii="Times New Roman" w:hAnsi="Times New Roman" w:eastAsia="宋体" w:cs="Times New Roman"/>
          <w:sz w:val="24"/>
          <w:szCs w:val="24"/>
        </w:rPr>
      </w:pPr>
      <w:bookmarkStart w:id="10" w:name="bm_4_4_2_局部扰动分析"/>
      <w:r>
        <w:rPr>
          <w:rFonts w:ascii="Times New Roman" w:hAnsi="Times New Roman" w:eastAsia="宋体" w:cs="Times New Roman"/>
          <w:b/>
          <w:sz w:val="24"/>
          <w:szCs w:val="24"/>
        </w:rPr>
        <w:t>4.4.2 局部扰动分析</w:t>
      </w:r>
      <w:bookmarkEnd w:id="10"/>
    </w:p>
    <w:p w14:paraId="21B96498">
      <w:pPr>
        <w:spacing w:after="220"/>
        <w:rPr>
          <w:rFonts w:ascii="Times New Roman" w:hAnsi="Times New Roman" w:eastAsia="宋体" w:cs="Times New Roman"/>
          <w:sz w:val="24"/>
          <w:szCs w:val="24"/>
        </w:rPr>
      </w:pPr>
      <w:r>
        <w:rPr>
          <w:rFonts w:ascii="Times New Roman" w:hAnsi="Times New Roman" w:eastAsia="宋体" w:cs="Times New Roman"/>
          <w:sz w:val="24"/>
          <w:szCs w:val="24"/>
        </w:rPr>
        <w:t>表 4‑7 汇总了三种基准偏好下不同扰动幅度的稳定性指标。整体来看，所有场景在 10% 扰动幅度下均表现出极高的稳定性（Spearman 相关性 ≥ 0.995，Top-3 稳定性 ≥ 0.98），表明微小的权重调整不会显著改变模型排名。随着扰动幅度增大，相关性逐渐下降，但即使在 50% 的大幅扰动下，Spearman 相关性仍保持在 0.94 以上，说明排名结构具有较强的抗干扰能力。</w:t>
      </w:r>
    </w:p>
    <w:p w14:paraId="460F75E8">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 4‑7 不同偏好场景下的局部扰动稳定性</w:t>
      </w:r>
    </w:p>
    <w:tbl>
      <w:tblPr>
        <w:tblStyle w:val="11"/>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73"/>
        <w:gridCol w:w="1231"/>
        <w:gridCol w:w="2034"/>
        <w:gridCol w:w="1914"/>
        <w:gridCol w:w="1755"/>
      </w:tblGrid>
      <w:tr w14:paraId="1544BB0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123F106A">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偏好场景</w:t>
            </w:r>
          </w:p>
        </w:tc>
        <w:tc>
          <w:tcPr>
            <w:tcW w:w="1231" w:type="dxa"/>
            <w:tcBorders>
              <w:top w:val="single" w:color="000000" w:sz="0" w:space="0"/>
              <w:left w:val="single" w:color="000000" w:sz="0" w:space="0"/>
              <w:bottom w:val="single" w:color="000000" w:sz="0" w:space="0"/>
            </w:tcBorders>
          </w:tcPr>
          <w:p w14:paraId="7ECAB52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扰动幅度</w:t>
            </w:r>
          </w:p>
        </w:tc>
        <w:tc>
          <w:tcPr>
            <w:tcW w:w="2034" w:type="dxa"/>
            <w:tcBorders>
              <w:top w:val="single" w:color="000000" w:sz="0" w:space="0"/>
              <w:left w:val="single" w:color="000000" w:sz="0" w:space="0"/>
              <w:bottom w:val="single" w:color="000000" w:sz="0" w:space="0"/>
            </w:tcBorders>
          </w:tcPr>
          <w:p w14:paraId="33349CBD">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Spearman 相关性</w:t>
            </w:r>
          </w:p>
        </w:tc>
        <w:tc>
          <w:tcPr>
            <w:tcW w:w="1914" w:type="dxa"/>
            <w:tcBorders>
              <w:top w:val="single" w:color="000000" w:sz="0" w:space="0"/>
              <w:left w:val="single" w:color="000000" w:sz="0" w:space="0"/>
              <w:bottom w:val="single" w:color="000000" w:sz="0" w:space="0"/>
            </w:tcBorders>
          </w:tcPr>
          <w:p w14:paraId="1A7C18F6">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Kendall τ 系数</w:t>
            </w:r>
          </w:p>
        </w:tc>
        <w:tc>
          <w:tcPr>
            <w:tcW w:w="1755" w:type="dxa"/>
            <w:tcBorders>
              <w:top w:val="single" w:color="000000" w:sz="0" w:space="0"/>
              <w:left w:val="single" w:color="000000" w:sz="0" w:space="0"/>
              <w:bottom w:val="single" w:color="000000" w:sz="0" w:space="0"/>
            </w:tcBorders>
          </w:tcPr>
          <w:p w14:paraId="1DFB7D9C">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Top-3 稳定性</w:t>
            </w:r>
          </w:p>
        </w:tc>
      </w:tr>
      <w:tr w14:paraId="6AB3669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3A91CE6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客观为主</w:t>
            </w:r>
          </w:p>
        </w:tc>
        <w:tc>
          <w:tcPr>
            <w:tcW w:w="1231" w:type="dxa"/>
            <w:tcBorders>
              <w:top w:val="single" w:color="000000" w:sz="0" w:space="0"/>
              <w:left w:val="single" w:color="000000" w:sz="0" w:space="0"/>
              <w:bottom w:val="single" w:color="000000" w:sz="0" w:space="0"/>
            </w:tcBorders>
          </w:tcPr>
          <w:p w14:paraId="4441D3FD">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w:t>
            </w:r>
          </w:p>
        </w:tc>
        <w:tc>
          <w:tcPr>
            <w:tcW w:w="2034" w:type="dxa"/>
            <w:tcBorders>
              <w:top w:val="single" w:color="000000" w:sz="0" w:space="0"/>
              <w:left w:val="single" w:color="000000" w:sz="0" w:space="0"/>
              <w:bottom w:val="single" w:color="000000" w:sz="0" w:space="0"/>
            </w:tcBorders>
          </w:tcPr>
          <w:p w14:paraId="6382F20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1.000</w:t>
            </w:r>
          </w:p>
        </w:tc>
        <w:tc>
          <w:tcPr>
            <w:tcW w:w="1914" w:type="dxa"/>
            <w:tcBorders>
              <w:top w:val="single" w:color="000000" w:sz="0" w:space="0"/>
              <w:left w:val="single" w:color="000000" w:sz="0" w:space="0"/>
              <w:bottom w:val="single" w:color="000000" w:sz="0" w:space="0"/>
            </w:tcBorders>
          </w:tcPr>
          <w:p w14:paraId="5259211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1.000</w:t>
            </w:r>
          </w:p>
        </w:tc>
        <w:tc>
          <w:tcPr>
            <w:tcW w:w="1755" w:type="dxa"/>
            <w:tcBorders>
              <w:top w:val="single" w:color="000000" w:sz="0" w:space="0"/>
              <w:left w:val="single" w:color="000000" w:sz="0" w:space="0"/>
              <w:bottom w:val="single" w:color="000000" w:sz="0" w:space="0"/>
            </w:tcBorders>
          </w:tcPr>
          <w:p w14:paraId="680C2D75">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1.000</w:t>
            </w:r>
          </w:p>
        </w:tc>
      </w:tr>
      <w:tr w14:paraId="7FD0A41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16642A20">
            <w:pPr>
              <w:spacing w:after="0" w:line="240" w:lineRule="auto"/>
              <w:rPr>
                <w:rFonts w:ascii="Times New Roman" w:hAnsi="Times New Roman" w:eastAsia="宋体" w:cs="Times New Roman"/>
                <w:sz w:val="22"/>
                <w:szCs w:val="22"/>
              </w:rPr>
            </w:pPr>
          </w:p>
        </w:tc>
        <w:tc>
          <w:tcPr>
            <w:tcW w:w="1231" w:type="dxa"/>
            <w:tcBorders>
              <w:top w:val="single" w:color="000000" w:sz="0" w:space="0"/>
              <w:left w:val="single" w:color="000000" w:sz="0" w:space="0"/>
              <w:bottom w:val="single" w:color="000000" w:sz="0" w:space="0"/>
            </w:tcBorders>
          </w:tcPr>
          <w:p w14:paraId="215A1837">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20%</w:t>
            </w:r>
          </w:p>
        </w:tc>
        <w:tc>
          <w:tcPr>
            <w:tcW w:w="2034" w:type="dxa"/>
            <w:tcBorders>
              <w:top w:val="single" w:color="000000" w:sz="0" w:space="0"/>
              <w:left w:val="single" w:color="000000" w:sz="0" w:space="0"/>
              <w:bottom w:val="single" w:color="000000" w:sz="0" w:space="0"/>
            </w:tcBorders>
          </w:tcPr>
          <w:p w14:paraId="71F06BC1">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0.991</w:t>
            </w:r>
          </w:p>
        </w:tc>
        <w:tc>
          <w:tcPr>
            <w:tcW w:w="1914" w:type="dxa"/>
            <w:tcBorders>
              <w:top w:val="single" w:color="000000" w:sz="0" w:space="0"/>
              <w:left w:val="single" w:color="000000" w:sz="0" w:space="0"/>
              <w:bottom w:val="single" w:color="000000" w:sz="0" w:space="0"/>
            </w:tcBorders>
          </w:tcPr>
          <w:p w14:paraId="147DFCF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0.970</w:t>
            </w:r>
          </w:p>
        </w:tc>
        <w:tc>
          <w:tcPr>
            <w:tcW w:w="1755" w:type="dxa"/>
            <w:tcBorders>
              <w:top w:val="single" w:color="000000" w:sz="0" w:space="0"/>
              <w:left w:val="single" w:color="000000" w:sz="0" w:space="0"/>
              <w:bottom w:val="single" w:color="000000" w:sz="0" w:space="0"/>
            </w:tcBorders>
          </w:tcPr>
          <w:p w14:paraId="1051E14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1.000</w:t>
            </w:r>
          </w:p>
        </w:tc>
      </w:tr>
      <w:tr w14:paraId="591F1AE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26337C27">
            <w:pPr>
              <w:spacing w:after="0" w:line="240" w:lineRule="auto"/>
              <w:rPr>
                <w:rFonts w:ascii="Times New Roman" w:hAnsi="Times New Roman" w:eastAsia="宋体" w:cs="Times New Roman"/>
                <w:sz w:val="22"/>
                <w:szCs w:val="22"/>
              </w:rPr>
            </w:pPr>
          </w:p>
        </w:tc>
        <w:tc>
          <w:tcPr>
            <w:tcW w:w="1231" w:type="dxa"/>
            <w:tcBorders>
              <w:top w:val="single" w:color="000000" w:sz="0" w:space="0"/>
              <w:left w:val="single" w:color="000000" w:sz="0" w:space="0"/>
              <w:bottom w:val="single" w:color="000000" w:sz="0" w:space="0"/>
            </w:tcBorders>
          </w:tcPr>
          <w:p w14:paraId="72E616CC">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30%</w:t>
            </w:r>
          </w:p>
        </w:tc>
        <w:tc>
          <w:tcPr>
            <w:tcW w:w="2034" w:type="dxa"/>
            <w:tcBorders>
              <w:top w:val="single" w:color="000000" w:sz="0" w:space="0"/>
              <w:left w:val="single" w:color="000000" w:sz="0" w:space="0"/>
              <w:bottom w:val="single" w:color="000000" w:sz="0" w:space="0"/>
            </w:tcBorders>
          </w:tcPr>
          <w:p w14:paraId="4786FFC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0.971</w:t>
            </w:r>
          </w:p>
        </w:tc>
        <w:tc>
          <w:tcPr>
            <w:tcW w:w="1914" w:type="dxa"/>
            <w:tcBorders>
              <w:top w:val="single" w:color="000000" w:sz="0" w:space="0"/>
              <w:left w:val="single" w:color="000000" w:sz="0" w:space="0"/>
              <w:bottom w:val="single" w:color="000000" w:sz="0" w:space="0"/>
            </w:tcBorders>
          </w:tcPr>
          <w:p w14:paraId="5BBEF7D5">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0.918</w:t>
            </w:r>
          </w:p>
        </w:tc>
        <w:tc>
          <w:tcPr>
            <w:tcW w:w="1755" w:type="dxa"/>
            <w:tcBorders>
              <w:top w:val="single" w:color="000000" w:sz="0" w:space="0"/>
              <w:left w:val="single" w:color="000000" w:sz="0" w:space="0"/>
              <w:bottom w:val="single" w:color="000000" w:sz="0" w:space="0"/>
            </w:tcBorders>
          </w:tcPr>
          <w:p w14:paraId="737907B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0.904</w:t>
            </w:r>
          </w:p>
        </w:tc>
      </w:tr>
      <w:tr w14:paraId="4B23908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11B9073B">
            <w:pPr>
              <w:spacing w:after="0" w:line="240" w:lineRule="auto"/>
              <w:rPr>
                <w:rFonts w:ascii="Times New Roman" w:hAnsi="Times New Roman" w:eastAsia="宋体" w:cs="Times New Roman"/>
                <w:sz w:val="22"/>
                <w:szCs w:val="22"/>
              </w:rPr>
            </w:pPr>
          </w:p>
        </w:tc>
        <w:tc>
          <w:tcPr>
            <w:tcW w:w="1231" w:type="dxa"/>
            <w:tcBorders>
              <w:top w:val="single" w:color="000000" w:sz="0" w:space="0"/>
              <w:left w:val="single" w:color="000000" w:sz="0" w:space="0"/>
              <w:bottom w:val="single" w:color="000000" w:sz="0" w:space="0"/>
            </w:tcBorders>
          </w:tcPr>
          <w:p w14:paraId="4312BC5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50%</w:t>
            </w:r>
          </w:p>
        </w:tc>
        <w:tc>
          <w:tcPr>
            <w:tcW w:w="2034" w:type="dxa"/>
            <w:tcBorders>
              <w:top w:val="single" w:color="000000" w:sz="0" w:space="0"/>
              <w:left w:val="single" w:color="000000" w:sz="0" w:space="0"/>
              <w:bottom w:val="single" w:color="000000" w:sz="0" w:space="0"/>
            </w:tcBorders>
          </w:tcPr>
          <w:p w14:paraId="32DB11C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0.938</w:t>
            </w:r>
          </w:p>
        </w:tc>
        <w:tc>
          <w:tcPr>
            <w:tcW w:w="1914" w:type="dxa"/>
            <w:tcBorders>
              <w:top w:val="single" w:color="000000" w:sz="0" w:space="0"/>
              <w:left w:val="single" w:color="000000" w:sz="0" w:space="0"/>
              <w:bottom w:val="single" w:color="000000" w:sz="0" w:space="0"/>
            </w:tcBorders>
          </w:tcPr>
          <w:p w14:paraId="7DF704B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0.858</w:t>
            </w:r>
          </w:p>
        </w:tc>
        <w:tc>
          <w:tcPr>
            <w:tcW w:w="1755" w:type="dxa"/>
            <w:tcBorders>
              <w:top w:val="single" w:color="000000" w:sz="0" w:space="0"/>
              <w:left w:val="single" w:color="000000" w:sz="0" w:space="0"/>
              <w:bottom w:val="single" w:color="000000" w:sz="0" w:space="0"/>
            </w:tcBorders>
          </w:tcPr>
          <w:p w14:paraId="3DA9EDA0">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0.789</w:t>
            </w:r>
          </w:p>
        </w:tc>
      </w:tr>
      <w:tr w14:paraId="6EA8722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6DC3DFE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主观为主</w:t>
            </w:r>
          </w:p>
        </w:tc>
        <w:tc>
          <w:tcPr>
            <w:tcW w:w="1231" w:type="dxa"/>
            <w:tcBorders>
              <w:top w:val="single" w:color="000000" w:sz="0" w:space="0"/>
              <w:left w:val="single" w:color="000000" w:sz="0" w:space="0"/>
              <w:bottom w:val="single" w:color="000000" w:sz="0" w:space="0"/>
            </w:tcBorders>
          </w:tcPr>
          <w:p w14:paraId="3B09FBC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w:t>
            </w:r>
          </w:p>
        </w:tc>
        <w:tc>
          <w:tcPr>
            <w:tcW w:w="2034" w:type="dxa"/>
            <w:tcBorders>
              <w:top w:val="single" w:color="000000" w:sz="0" w:space="0"/>
              <w:left w:val="single" w:color="000000" w:sz="0" w:space="0"/>
              <w:bottom w:val="single" w:color="000000" w:sz="0" w:space="0"/>
            </w:tcBorders>
          </w:tcPr>
          <w:p w14:paraId="3ED9131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0.998</w:t>
            </w:r>
          </w:p>
        </w:tc>
        <w:tc>
          <w:tcPr>
            <w:tcW w:w="1914" w:type="dxa"/>
            <w:tcBorders>
              <w:top w:val="single" w:color="000000" w:sz="0" w:space="0"/>
              <w:left w:val="single" w:color="000000" w:sz="0" w:space="0"/>
              <w:bottom w:val="single" w:color="000000" w:sz="0" w:space="0"/>
            </w:tcBorders>
          </w:tcPr>
          <w:p w14:paraId="6CB05B24">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0.992</w:t>
            </w:r>
          </w:p>
        </w:tc>
        <w:tc>
          <w:tcPr>
            <w:tcW w:w="1755" w:type="dxa"/>
            <w:tcBorders>
              <w:top w:val="single" w:color="000000" w:sz="0" w:space="0"/>
              <w:left w:val="single" w:color="000000" w:sz="0" w:space="0"/>
              <w:bottom w:val="single" w:color="000000" w:sz="0" w:space="0"/>
            </w:tcBorders>
          </w:tcPr>
          <w:p w14:paraId="4E05C5C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1.000</w:t>
            </w:r>
          </w:p>
        </w:tc>
      </w:tr>
      <w:tr w14:paraId="3C68781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12E2B5FD">
            <w:pPr>
              <w:spacing w:after="0" w:line="240" w:lineRule="auto"/>
              <w:rPr>
                <w:rFonts w:ascii="Times New Roman" w:hAnsi="Times New Roman" w:eastAsia="宋体" w:cs="Times New Roman"/>
                <w:sz w:val="22"/>
                <w:szCs w:val="22"/>
              </w:rPr>
            </w:pPr>
          </w:p>
        </w:tc>
        <w:tc>
          <w:tcPr>
            <w:tcW w:w="1231" w:type="dxa"/>
            <w:tcBorders>
              <w:top w:val="single" w:color="000000" w:sz="0" w:space="0"/>
              <w:left w:val="single" w:color="000000" w:sz="0" w:space="0"/>
              <w:bottom w:val="single" w:color="000000" w:sz="0" w:space="0"/>
            </w:tcBorders>
          </w:tcPr>
          <w:p w14:paraId="10066F1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20%</w:t>
            </w:r>
          </w:p>
        </w:tc>
        <w:tc>
          <w:tcPr>
            <w:tcW w:w="2034" w:type="dxa"/>
            <w:tcBorders>
              <w:top w:val="single" w:color="000000" w:sz="0" w:space="0"/>
              <w:left w:val="single" w:color="000000" w:sz="0" w:space="0"/>
              <w:bottom w:val="single" w:color="000000" w:sz="0" w:space="0"/>
            </w:tcBorders>
          </w:tcPr>
          <w:p w14:paraId="7A2342D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0.990</w:t>
            </w:r>
          </w:p>
        </w:tc>
        <w:tc>
          <w:tcPr>
            <w:tcW w:w="1914" w:type="dxa"/>
            <w:tcBorders>
              <w:top w:val="single" w:color="000000" w:sz="0" w:space="0"/>
              <w:left w:val="single" w:color="000000" w:sz="0" w:space="0"/>
              <w:bottom w:val="single" w:color="000000" w:sz="0" w:space="0"/>
            </w:tcBorders>
          </w:tcPr>
          <w:p w14:paraId="0DB5B1A0">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0.962</w:t>
            </w:r>
          </w:p>
        </w:tc>
        <w:tc>
          <w:tcPr>
            <w:tcW w:w="1755" w:type="dxa"/>
            <w:tcBorders>
              <w:top w:val="single" w:color="000000" w:sz="0" w:space="0"/>
              <w:left w:val="single" w:color="000000" w:sz="0" w:space="0"/>
              <w:bottom w:val="single" w:color="000000" w:sz="0" w:space="0"/>
            </w:tcBorders>
          </w:tcPr>
          <w:p w14:paraId="1AF021A0">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1.000</w:t>
            </w:r>
          </w:p>
        </w:tc>
      </w:tr>
      <w:tr w14:paraId="16A2EC1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6E1F171C">
            <w:pPr>
              <w:spacing w:after="0" w:line="240" w:lineRule="auto"/>
              <w:rPr>
                <w:rFonts w:ascii="Times New Roman" w:hAnsi="Times New Roman" w:eastAsia="宋体" w:cs="Times New Roman"/>
                <w:sz w:val="22"/>
                <w:szCs w:val="22"/>
              </w:rPr>
            </w:pPr>
          </w:p>
        </w:tc>
        <w:tc>
          <w:tcPr>
            <w:tcW w:w="1231" w:type="dxa"/>
            <w:tcBorders>
              <w:top w:val="single" w:color="000000" w:sz="0" w:space="0"/>
              <w:left w:val="single" w:color="000000" w:sz="0" w:space="0"/>
              <w:bottom w:val="single" w:color="000000" w:sz="0" w:space="0"/>
            </w:tcBorders>
          </w:tcPr>
          <w:p w14:paraId="473CE146">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30%</w:t>
            </w:r>
          </w:p>
        </w:tc>
        <w:tc>
          <w:tcPr>
            <w:tcW w:w="2034" w:type="dxa"/>
            <w:tcBorders>
              <w:top w:val="single" w:color="000000" w:sz="0" w:space="0"/>
              <w:left w:val="single" w:color="000000" w:sz="0" w:space="0"/>
              <w:bottom w:val="single" w:color="000000" w:sz="0" w:space="0"/>
            </w:tcBorders>
          </w:tcPr>
          <w:p w14:paraId="292B41C1">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0.980</w:t>
            </w:r>
          </w:p>
        </w:tc>
        <w:tc>
          <w:tcPr>
            <w:tcW w:w="1914" w:type="dxa"/>
            <w:tcBorders>
              <w:top w:val="single" w:color="000000" w:sz="0" w:space="0"/>
              <w:left w:val="single" w:color="000000" w:sz="0" w:space="0"/>
              <w:bottom w:val="single" w:color="000000" w:sz="0" w:space="0"/>
            </w:tcBorders>
          </w:tcPr>
          <w:p w14:paraId="018AEDB1">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0.929</w:t>
            </w:r>
          </w:p>
        </w:tc>
        <w:tc>
          <w:tcPr>
            <w:tcW w:w="1755" w:type="dxa"/>
            <w:tcBorders>
              <w:top w:val="single" w:color="000000" w:sz="0" w:space="0"/>
              <w:left w:val="single" w:color="000000" w:sz="0" w:space="0"/>
              <w:bottom w:val="single" w:color="000000" w:sz="0" w:space="0"/>
            </w:tcBorders>
          </w:tcPr>
          <w:p w14:paraId="5E60C1D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0.942</w:t>
            </w:r>
          </w:p>
        </w:tc>
      </w:tr>
      <w:tr w14:paraId="59289ED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43E0D930">
            <w:pPr>
              <w:spacing w:after="0" w:line="240" w:lineRule="auto"/>
              <w:rPr>
                <w:rFonts w:ascii="Times New Roman" w:hAnsi="Times New Roman" w:eastAsia="宋体" w:cs="Times New Roman"/>
                <w:sz w:val="22"/>
                <w:szCs w:val="22"/>
              </w:rPr>
            </w:pPr>
          </w:p>
        </w:tc>
        <w:tc>
          <w:tcPr>
            <w:tcW w:w="1231" w:type="dxa"/>
            <w:tcBorders>
              <w:top w:val="single" w:color="000000" w:sz="0" w:space="0"/>
              <w:left w:val="single" w:color="000000" w:sz="0" w:space="0"/>
              <w:bottom w:val="single" w:color="000000" w:sz="0" w:space="0"/>
            </w:tcBorders>
          </w:tcPr>
          <w:p w14:paraId="552B23E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50%</w:t>
            </w:r>
          </w:p>
        </w:tc>
        <w:tc>
          <w:tcPr>
            <w:tcW w:w="2034" w:type="dxa"/>
            <w:tcBorders>
              <w:top w:val="single" w:color="000000" w:sz="0" w:space="0"/>
              <w:left w:val="single" w:color="000000" w:sz="0" w:space="0"/>
              <w:bottom w:val="single" w:color="000000" w:sz="0" w:space="0"/>
            </w:tcBorders>
          </w:tcPr>
          <w:p w14:paraId="7C9B8676">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0.942</w:t>
            </w:r>
          </w:p>
        </w:tc>
        <w:tc>
          <w:tcPr>
            <w:tcW w:w="1914" w:type="dxa"/>
            <w:tcBorders>
              <w:top w:val="single" w:color="000000" w:sz="0" w:space="0"/>
              <w:left w:val="single" w:color="000000" w:sz="0" w:space="0"/>
              <w:bottom w:val="single" w:color="000000" w:sz="0" w:space="0"/>
            </w:tcBorders>
          </w:tcPr>
          <w:p w14:paraId="648B228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0.846</w:t>
            </w:r>
          </w:p>
        </w:tc>
        <w:tc>
          <w:tcPr>
            <w:tcW w:w="1755" w:type="dxa"/>
            <w:tcBorders>
              <w:top w:val="single" w:color="000000" w:sz="0" w:space="0"/>
              <w:left w:val="single" w:color="000000" w:sz="0" w:space="0"/>
              <w:bottom w:val="single" w:color="000000" w:sz="0" w:space="0"/>
            </w:tcBorders>
          </w:tcPr>
          <w:p w14:paraId="72B0204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0.844</w:t>
            </w:r>
          </w:p>
        </w:tc>
      </w:tr>
      <w:tr w14:paraId="2D1870E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60BE3EB5">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均衡配置</w:t>
            </w:r>
          </w:p>
        </w:tc>
        <w:tc>
          <w:tcPr>
            <w:tcW w:w="1231" w:type="dxa"/>
            <w:tcBorders>
              <w:top w:val="single" w:color="000000" w:sz="0" w:space="0"/>
              <w:left w:val="single" w:color="000000" w:sz="0" w:space="0"/>
              <w:bottom w:val="single" w:color="000000" w:sz="0" w:space="0"/>
            </w:tcBorders>
          </w:tcPr>
          <w:p w14:paraId="363CC73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10%</w:t>
            </w:r>
          </w:p>
        </w:tc>
        <w:tc>
          <w:tcPr>
            <w:tcW w:w="2034" w:type="dxa"/>
            <w:tcBorders>
              <w:top w:val="single" w:color="000000" w:sz="0" w:space="0"/>
              <w:left w:val="single" w:color="000000" w:sz="0" w:space="0"/>
              <w:bottom w:val="single" w:color="000000" w:sz="0" w:space="0"/>
            </w:tcBorders>
          </w:tcPr>
          <w:p w14:paraId="357F9036">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0.995</w:t>
            </w:r>
          </w:p>
        </w:tc>
        <w:tc>
          <w:tcPr>
            <w:tcW w:w="1914" w:type="dxa"/>
            <w:tcBorders>
              <w:top w:val="single" w:color="000000" w:sz="0" w:space="0"/>
              <w:left w:val="single" w:color="000000" w:sz="0" w:space="0"/>
              <w:bottom w:val="single" w:color="000000" w:sz="0" w:space="0"/>
            </w:tcBorders>
          </w:tcPr>
          <w:p w14:paraId="3E5D9EC1">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0.982</w:t>
            </w:r>
          </w:p>
        </w:tc>
        <w:tc>
          <w:tcPr>
            <w:tcW w:w="1755" w:type="dxa"/>
            <w:tcBorders>
              <w:top w:val="single" w:color="000000" w:sz="0" w:space="0"/>
              <w:left w:val="single" w:color="000000" w:sz="0" w:space="0"/>
              <w:bottom w:val="single" w:color="000000" w:sz="0" w:space="0"/>
            </w:tcBorders>
          </w:tcPr>
          <w:p w14:paraId="54ACB5B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0.980</w:t>
            </w:r>
          </w:p>
        </w:tc>
      </w:tr>
      <w:tr w14:paraId="3BBFC9D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0F3015D2">
            <w:pPr>
              <w:spacing w:after="0" w:line="240" w:lineRule="auto"/>
              <w:rPr>
                <w:rFonts w:ascii="Times New Roman" w:hAnsi="Times New Roman" w:eastAsia="宋体" w:cs="Times New Roman"/>
                <w:sz w:val="22"/>
                <w:szCs w:val="22"/>
              </w:rPr>
            </w:pPr>
          </w:p>
        </w:tc>
        <w:tc>
          <w:tcPr>
            <w:tcW w:w="1231" w:type="dxa"/>
            <w:tcBorders>
              <w:top w:val="single" w:color="000000" w:sz="0" w:space="0"/>
              <w:left w:val="single" w:color="000000" w:sz="0" w:space="0"/>
              <w:bottom w:val="single" w:color="000000" w:sz="0" w:space="0"/>
            </w:tcBorders>
          </w:tcPr>
          <w:p w14:paraId="364933AA">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20%</w:t>
            </w:r>
          </w:p>
        </w:tc>
        <w:tc>
          <w:tcPr>
            <w:tcW w:w="2034" w:type="dxa"/>
            <w:tcBorders>
              <w:top w:val="single" w:color="000000" w:sz="0" w:space="0"/>
              <w:left w:val="single" w:color="000000" w:sz="0" w:space="0"/>
              <w:bottom w:val="single" w:color="000000" w:sz="0" w:space="0"/>
            </w:tcBorders>
          </w:tcPr>
          <w:p w14:paraId="04BDEAE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0.979</w:t>
            </w:r>
          </w:p>
        </w:tc>
        <w:tc>
          <w:tcPr>
            <w:tcW w:w="1914" w:type="dxa"/>
            <w:tcBorders>
              <w:top w:val="single" w:color="000000" w:sz="0" w:space="0"/>
              <w:left w:val="single" w:color="000000" w:sz="0" w:space="0"/>
              <w:bottom w:val="single" w:color="000000" w:sz="0" w:space="0"/>
            </w:tcBorders>
          </w:tcPr>
          <w:p w14:paraId="53C4A8E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0.938</w:t>
            </w:r>
          </w:p>
        </w:tc>
        <w:tc>
          <w:tcPr>
            <w:tcW w:w="1755" w:type="dxa"/>
            <w:tcBorders>
              <w:top w:val="single" w:color="000000" w:sz="0" w:space="0"/>
              <w:left w:val="single" w:color="000000" w:sz="0" w:space="0"/>
              <w:bottom w:val="single" w:color="000000" w:sz="0" w:space="0"/>
            </w:tcBorders>
          </w:tcPr>
          <w:p w14:paraId="27FA9B7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0.699</w:t>
            </w:r>
          </w:p>
        </w:tc>
      </w:tr>
      <w:tr w14:paraId="36C34CA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1A506BBD">
            <w:pPr>
              <w:spacing w:after="0" w:line="240" w:lineRule="auto"/>
              <w:rPr>
                <w:rFonts w:ascii="Times New Roman" w:hAnsi="Times New Roman" w:eastAsia="宋体" w:cs="Times New Roman"/>
                <w:sz w:val="22"/>
                <w:szCs w:val="22"/>
              </w:rPr>
            </w:pPr>
          </w:p>
        </w:tc>
        <w:tc>
          <w:tcPr>
            <w:tcW w:w="1231" w:type="dxa"/>
            <w:tcBorders>
              <w:top w:val="single" w:color="000000" w:sz="0" w:space="0"/>
              <w:left w:val="single" w:color="000000" w:sz="0" w:space="0"/>
              <w:bottom w:val="single" w:color="000000" w:sz="0" w:space="0"/>
            </w:tcBorders>
          </w:tcPr>
          <w:p w14:paraId="29D151A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30%</w:t>
            </w:r>
          </w:p>
        </w:tc>
        <w:tc>
          <w:tcPr>
            <w:tcW w:w="2034" w:type="dxa"/>
            <w:tcBorders>
              <w:top w:val="single" w:color="000000" w:sz="0" w:space="0"/>
              <w:left w:val="single" w:color="000000" w:sz="0" w:space="0"/>
              <w:bottom w:val="single" w:color="000000" w:sz="0" w:space="0"/>
            </w:tcBorders>
          </w:tcPr>
          <w:p w14:paraId="6627833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0.968</w:t>
            </w:r>
          </w:p>
        </w:tc>
        <w:tc>
          <w:tcPr>
            <w:tcW w:w="1914" w:type="dxa"/>
            <w:tcBorders>
              <w:top w:val="single" w:color="000000" w:sz="0" w:space="0"/>
              <w:left w:val="single" w:color="000000" w:sz="0" w:space="0"/>
              <w:bottom w:val="single" w:color="000000" w:sz="0" w:space="0"/>
            </w:tcBorders>
          </w:tcPr>
          <w:p w14:paraId="07544DDC">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0.907</w:t>
            </w:r>
          </w:p>
        </w:tc>
        <w:tc>
          <w:tcPr>
            <w:tcW w:w="1755" w:type="dxa"/>
            <w:tcBorders>
              <w:top w:val="single" w:color="000000" w:sz="0" w:space="0"/>
              <w:left w:val="single" w:color="000000" w:sz="0" w:space="0"/>
              <w:bottom w:val="single" w:color="000000" w:sz="0" w:space="0"/>
            </w:tcBorders>
          </w:tcPr>
          <w:p w14:paraId="325CC57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0.693</w:t>
            </w:r>
          </w:p>
        </w:tc>
      </w:tr>
      <w:tr w14:paraId="08FB9F8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op w:val="single" w:color="000000" w:sz="0" w:space="0"/>
              <w:bottom w:val="single" w:color="000000" w:sz="0" w:space="0"/>
            </w:tcBorders>
          </w:tcPr>
          <w:p w14:paraId="43C08CEB">
            <w:pPr>
              <w:spacing w:after="0" w:line="240" w:lineRule="auto"/>
              <w:rPr>
                <w:rFonts w:ascii="Times New Roman" w:hAnsi="Times New Roman" w:eastAsia="宋体" w:cs="Times New Roman"/>
                <w:sz w:val="22"/>
                <w:szCs w:val="22"/>
              </w:rPr>
            </w:pPr>
          </w:p>
        </w:tc>
        <w:tc>
          <w:tcPr>
            <w:tcW w:w="1231" w:type="dxa"/>
            <w:tcBorders>
              <w:top w:val="single" w:color="000000" w:sz="0" w:space="0"/>
              <w:left w:val="single" w:color="000000" w:sz="0" w:space="0"/>
              <w:bottom w:val="single" w:color="000000" w:sz="0" w:space="0"/>
            </w:tcBorders>
          </w:tcPr>
          <w:p w14:paraId="0BA1166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50%</w:t>
            </w:r>
          </w:p>
        </w:tc>
        <w:tc>
          <w:tcPr>
            <w:tcW w:w="2034" w:type="dxa"/>
            <w:tcBorders>
              <w:top w:val="single" w:color="000000" w:sz="0" w:space="0"/>
              <w:left w:val="single" w:color="000000" w:sz="0" w:space="0"/>
              <w:bottom w:val="single" w:color="000000" w:sz="0" w:space="0"/>
            </w:tcBorders>
          </w:tcPr>
          <w:p w14:paraId="510D7157">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0.944</w:t>
            </w:r>
          </w:p>
        </w:tc>
        <w:tc>
          <w:tcPr>
            <w:tcW w:w="1914" w:type="dxa"/>
            <w:tcBorders>
              <w:top w:val="single" w:color="000000" w:sz="0" w:space="0"/>
              <w:left w:val="single" w:color="000000" w:sz="0" w:space="0"/>
              <w:bottom w:val="single" w:color="000000" w:sz="0" w:space="0"/>
            </w:tcBorders>
          </w:tcPr>
          <w:p w14:paraId="3F9E72D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0.860</w:t>
            </w:r>
          </w:p>
        </w:tc>
        <w:tc>
          <w:tcPr>
            <w:tcW w:w="1755" w:type="dxa"/>
            <w:tcBorders>
              <w:top w:val="single" w:color="000000" w:sz="0" w:space="0"/>
              <w:left w:val="single" w:color="000000" w:sz="0" w:space="0"/>
              <w:bottom w:val="single" w:color="000000" w:sz="0" w:space="0"/>
            </w:tcBorders>
          </w:tcPr>
          <w:p w14:paraId="23ED62F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0.594</w:t>
            </w:r>
          </w:p>
        </w:tc>
      </w:tr>
    </w:tbl>
    <w:p w14:paraId="04A1157C">
      <w:pPr>
        <w:rPr>
          <w:rFonts w:ascii="Times New Roman" w:hAnsi="Times New Roman" w:eastAsia="宋体" w:cs="Times New Roman"/>
          <w:sz w:val="24"/>
          <w:szCs w:val="24"/>
        </w:rPr>
      </w:pPr>
    </w:p>
    <w:p w14:paraId="7CF67CA1">
      <w:pPr>
        <w:spacing w:after="220"/>
        <w:rPr>
          <w:rFonts w:ascii="Times New Roman" w:hAnsi="Times New Roman" w:eastAsia="宋体" w:cs="Times New Roman"/>
          <w:sz w:val="24"/>
          <w:szCs w:val="24"/>
        </w:rPr>
      </w:pPr>
      <w:r>
        <w:rPr>
          <w:rFonts w:ascii="Times New Roman" w:hAnsi="Times New Roman" w:eastAsia="宋体" w:cs="Times New Roman"/>
          <w:sz w:val="24"/>
          <w:szCs w:val="24"/>
        </w:rPr>
        <w:t>值得注意的是，均衡配置下 Top-3 稳定性随扰动幅度增大下降较快（50% 时仅 0.594），这是因为均衡配置中前几名模型得分差距较小，权重变化容易引发排名互换；而客观偏好和主观偏好下头部模型优势明显，稳定性更高。这提示我们在使用均衡权重时，对前几名模型的细微差异应谨慎解读。</w:t>
      </w:r>
    </w:p>
    <w:p w14:paraId="34C4FEE4">
      <w:pPr>
        <w:spacing w:before="240" w:line="271" w:lineRule="auto"/>
        <w:rPr>
          <w:rFonts w:ascii="Times New Roman" w:hAnsi="Times New Roman" w:eastAsia="宋体" w:cs="Times New Roman"/>
          <w:sz w:val="24"/>
          <w:szCs w:val="24"/>
        </w:rPr>
      </w:pPr>
      <w:bookmarkStart w:id="11" w:name="bm_4_4_3_全局敏感性分析"/>
      <w:r>
        <w:rPr>
          <w:rFonts w:ascii="Times New Roman" w:hAnsi="Times New Roman" w:eastAsia="宋体" w:cs="Times New Roman"/>
          <w:b/>
          <w:sz w:val="24"/>
          <w:szCs w:val="24"/>
        </w:rPr>
        <w:t>4.4.3 全局敏感性分析</w:t>
      </w:r>
      <w:bookmarkEnd w:id="11"/>
    </w:p>
    <w:p w14:paraId="3E0F80B8">
      <w:pPr>
        <w:spacing w:after="220"/>
        <w:rPr>
          <w:rFonts w:ascii="Times New Roman" w:hAnsi="Times New Roman" w:eastAsia="宋体" w:cs="Times New Roman"/>
          <w:sz w:val="24"/>
          <w:szCs w:val="24"/>
        </w:rPr>
      </w:pPr>
      <w:r>
        <w:rPr>
          <w:rFonts w:ascii="Times New Roman" w:hAnsi="Times New Roman" w:eastAsia="宋体" w:cs="Times New Roman"/>
          <w:sz w:val="24"/>
          <w:szCs w:val="24"/>
        </w:rPr>
        <w:t>全局敏感性分析覆盖了 1000 组随机权重配置，结果如表 4‑8 所示。全局平均 Spearman 相关性高达 0.907，Kendall τ 为 0.799，表明在广泛的权重空间中，模型排名具有高度一致性。Top-3 稳定性为 0.571，略低于局部扰动下的高幅值，但仍在可接受范围，说明前三位模型的构成在不同偏好下有一定变化，但整体排名结构依然稳健。</w:t>
      </w:r>
    </w:p>
    <w:p w14:paraId="5216B84E">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 4‑8 全局敏感性指标</w:t>
      </w:r>
    </w:p>
    <w:tbl>
      <w:tblPr>
        <w:tblStyle w:val="11"/>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725"/>
        <w:gridCol w:w="1321"/>
      </w:tblGrid>
      <w:tr w14:paraId="352B374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7629BFF4">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指标</w:t>
            </w:r>
          </w:p>
        </w:tc>
        <w:tc>
          <w:tcPr>
            <w:tcW w:w="1321" w:type="dxa"/>
            <w:tcBorders>
              <w:top w:val="single" w:color="000000" w:sz="0" w:space="0"/>
              <w:left w:val="single" w:color="000000" w:sz="0" w:space="0"/>
              <w:bottom w:val="single" w:color="000000" w:sz="0" w:space="0"/>
            </w:tcBorders>
          </w:tcPr>
          <w:p w14:paraId="77C93AC5">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数值</w:t>
            </w:r>
          </w:p>
        </w:tc>
      </w:tr>
      <w:tr w14:paraId="0AFF411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54B26DB4">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平均 Spearman 相关性</w:t>
            </w:r>
          </w:p>
        </w:tc>
        <w:tc>
          <w:tcPr>
            <w:tcW w:w="1321" w:type="dxa"/>
            <w:tcBorders>
              <w:top w:val="single" w:color="000000" w:sz="0" w:space="0"/>
              <w:left w:val="single" w:color="000000" w:sz="0" w:space="0"/>
              <w:bottom w:val="single" w:color="000000" w:sz="0" w:space="0"/>
            </w:tcBorders>
          </w:tcPr>
          <w:p w14:paraId="69F2C262">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0.907</w:t>
            </w:r>
          </w:p>
        </w:tc>
      </w:tr>
      <w:tr w14:paraId="4CFAC30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21D60937">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平均 Kendall τ 系数</w:t>
            </w:r>
          </w:p>
        </w:tc>
        <w:tc>
          <w:tcPr>
            <w:tcW w:w="1321" w:type="dxa"/>
            <w:tcBorders>
              <w:top w:val="single" w:color="000000" w:sz="0" w:space="0"/>
              <w:left w:val="single" w:color="000000" w:sz="0" w:space="0"/>
              <w:bottom w:val="single" w:color="000000" w:sz="0" w:space="0"/>
            </w:tcBorders>
          </w:tcPr>
          <w:p w14:paraId="39E1D306">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0.799</w:t>
            </w:r>
          </w:p>
        </w:tc>
      </w:tr>
      <w:tr w14:paraId="051D37E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bottom w:val="single" w:color="000000" w:sz="0" w:space="0"/>
            </w:tcBorders>
          </w:tcPr>
          <w:p w14:paraId="2D4D8044">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Top-3 稳定性</w:t>
            </w:r>
          </w:p>
        </w:tc>
        <w:tc>
          <w:tcPr>
            <w:tcW w:w="1321" w:type="dxa"/>
            <w:tcBorders>
              <w:top w:val="single" w:color="000000" w:sz="0" w:space="0"/>
              <w:left w:val="single" w:color="000000" w:sz="0" w:space="0"/>
              <w:bottom w:val="single" w:color="000000" w:sz="0" w:space="0"/>
            </w:tcBorders>
          </w:tcPr>
          <w:p w14:paraId="2B314A2B">
            <w:pPr>
              <w:spacing w:after="0" w:line="240" w:lineRule="auto"/>
              <w:rPr>
                <w:rFonts w:ascii="Times New Roman" w:hAnsi="Times New Roman" w:eastAsia="宋体" w:cs="Times New Roman"/>
                <w:sz w:val="24"/>
                <w:szCs w:val="24"/>
              </w:rPr>
            </w:pPr>
            <w:r>
              <w:rPr>
                <w:rFonts w:ascii="Times New Roman" w:hAnsi="Times New Roman" w:eastAsia="宋体" w:cs="Times New Roman"/>
                <w:sz w:val="24"/>
                <w:szCs w:val="24"/>
              </w:rPr>
              <w:t>0.571</w:t>
            </w:r>
          </w:p>
        </w:tc>
      </w:tr>
    </w:tbl>
    <w:p w14:paraId="05897B05">
      <w:pPr>
        <w:rPr>
          <w:rFonts w:ascii="Times New Roman" w:hAnsi="Times New Roman" w:eastAsia="宋体" w:cs="Times New Roman"/>
          <w:sz w:val="24"/>
          <w:szCs w:val="24"/>
        </w:rPr>
      </w:pPr>
    </w:p>
    <w:p w14:paraId="35190394">
      <w:pPr>
        <w:spacing w:before="240" w:line="271" w:lineRule="auto"/>
        <w:rPr>
          <w:rFonts w:ascii="Times New Roman" w:hAnsi="Times New Roman" w:eastAsia="宋体" w:cs="Times New Roman"/>
          <w:sz w:val="24"/>
          <w:szCs w:val="24"/>
        </w:rPr>
      </w:pPr>
      <w:bookmarkStart w:id="12" w:name="bm_4_4_4_模型敏感性分类"/>
      <w:r>
        <w:rPr>
          <w:rFonts w:ascii="Times New Roman" w:hAnsi="Times New Roman" w:eastAsia="宋体" w:cs="Times New Roman"/>
          <w:b/>
          <w:sz w:val="24"/>
          <w:szCs w:val="24"/>
        </w:rPr>
        <w:t>4.4.4 模型敏感性分类</w:t>
      </w:r>
      <w:bookmarkEnd w:id="12"/>
    </w:p>
    <w:p w14:paraId="5191304E">
      <w:pPr>
        <w:spacing w:after="220"/>
        <w:rPr>
          <w:rFonts w:ascii="Times New Roman" w:hAnsi="Times New Roman" w:eastAsia="宋体" w:cs="Times New Roman"/>
          <w:sz w:val="24"/>
          <w:szCs w:val="24"/>
        </w:rPr>
      </w:pPr>
      <w:r>
        <w:rPr>
          <w:rFonts w:ascii="Times New Roman" w:hAnsi="Times New Roman" w:eastAsia="宋体" w:cs="Times New Roman"/>
          <w:sz w:val="24"/>
          <w:szCs w:val="24"/>
        </w:rPr>
        <w:t>通过计算各模型综合得分在 1000 组权重配置下的方差，我们识别出对权重变化最敏感和最不敏感的模型（表 4‑9）。敏感性高的模型在不同偏好下得分波动大，其排名易受权重调整影响；敏感性低的模型则表现稳定，排名几乎不受权重变化干扰。</w:t>
      </w:r>
    </w:p>
    <w:p w14:paraId="66717A1D">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 4‑9 权重敏感性最高的模型与最低的模型</w:t>
      </w:r>
    </w:p>
    <w:tbl>
      <w:tblPr>
        <w:tblStyle w:val="11"/>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80" w:type="dxa"/>
          <w:left w:w="160" w:type="dxa"/>
          <w:bottom w:w="80" w:type="dxa"/>
          <w:right w:w="160" w:type="dxa"/>
        </w:tblCellMar>
      </w:tblPr>
      <w:tblGrid>
        <w:gridCol w:w="806"/>
        <w:gridCol w:w="2545"/>
        <w:gridCol w:w="967"/>
        <w:gridCol w:w="2254"/>
        <w:gridCol w:w="985"/>
      </w:tblGrid>
      <w:tr w14:paraId="05C3A41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806" w:type="dxa"/>
            <w:tcBorders>
              <w:top w:val="single" w:color="000000" w:sz="0" w:space="0"/>
              <w:bottom w:val="single" w:color="000000" w:sz="0" w:space="0"/>
            </w:tcBorders>
          </w:tcPr>
          <w:p w14:paraId="43E490B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排名</w:t>
            </w:r>
          </w:p>
        </w:tc>
        <w:tc>
          <w:tcPr>
            <w:tcW w:w="2545" w:type="dxa"/>
            <w:tcBorders>
              <w:top w:val="single" w:color="000000" w:sz="0" w:space="0"/>
              <w:left w:val="single" w:color="000000" w:sz="0" w:space="0"/>
              <w:bottom w:val="single" w:color="000000" w:sz="0" w:space="0"/>
            </w:tcBorders>
          </w:tcPr>
          <w:p w14:paraId="583E52D0">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高敏感性模型</w:t>
            </w:r>
          </w:p>
        </w:tc>
        <w:tc>
          <w:tcPr>
            <w:tcW w:w="967" w:type="dxa"/>
            <w:tcBorders>
              <w:top w:val="single" w:color="000000" w:sz="0" w:space="0"/>
              <w:left w:val="single" w:color="000000" w:sz="0" w:space="0"/>
              <w:bottom w:val="single" w:color="000000" w:sz="0" w:space="0"/>
            </w:tcBorders>
          </w:tcPr>
          <w:p w14:paraId="002BAFC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方差</w:t>
            </w:r>
          </w:p>
        </w:tc>
        <w:tc>
          <w:tcPr>
            <w:tcW w:w="2254" w:type="dxa"/>
            <w:tcBorders>
              <w:top w:val="single" w:color="000000" w:sz="0" w:space="0"/>
              <w:left w:val="single" w:color="000000" w:sz="0" w:space="0"/>
              <w:bottom w:val="single" w:color="000000" w:sz="0" w:space="0"/>
            </w:tcBorders>
          </w:tcPr>
          <w:p w14:paraId="32662D0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低敏感性模型</w:t>
            </w:r>
          </w:p>
        </w:tc>
        <w:tc>
          <w:tcPr>
            <w:tcW w:w="985" w:type="dxa"/>
            <w:tcBorders>
              <w:top w:val="single" w:color="000000" w:sz="0" w:space="0"/>
              <w:left w:val="single" w:color="000000" w:sz="0" w:space="0"/>
              <w:bottom w:val="single" w:color="000000" w:sz="0" w:space="0"/>
            </w:tcBorders>
          </w:tcPr>
          <w:p w14:paraId="6A3EBD5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方差</w:t>
            </w:r>
          </w:p>
        </w:tc>
      </w:tr>
      <w:tr w14:paraId="71FEAD8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806" w:type="dxa"/>
            <w:tcBorders>
              <w:top w:val="single" w:color="000000" w:sz="0" w:space="0"/>
              <w:bottom w:val="single" w:color="000000" w:sz="0" w:space="0"/>
            </w:tcBorders>
          </w:tcPr>
          <w:p w14:paraId="402E5AD5">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1</w:t>
            </w:r>
          </w:p>
        </w:tc>
        <w:tc>
          <w:tcPr>
            <w:tcW w:w="2545" w:type="dxa"/>
            <w:tcBorders>
              <w:top w:val="single" w:color="000000" w:sz="0" w:space="0"/>
              <w:left w:val="single" w:color="000000" w:sz="0" w:space="0"/>
              <w:bottom w:val="single" w:color="000000" w:sz="0" w:space="0"/>
            </w:tcBorders>
          </w:tcPr>
          <w:p w14:paraId="49A50A01">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gemma_4b_ol_q4km</w:t>
            </w:r>
          </w:p>
        </w:tc>
        <w:tc>
          <w:tcPr>
            <w:tcW w:w="967" w:type="dxa"/>
            <w:tcBorders>
              <w:top w:val="single" w:color="000000" w:sz="0" w:space="0"/>
              <w:left w:val="single" w:color="000000" w:sz="0" w:space="0"/>
              <w:bottom w:val="single" w:color="000000" w:sz="0" w:space="0"/>
            </w:tcBorders>
          </w:tcPr>
          <w:p w14:paraId="1F73A8D4">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0.1314</w:t>
            </w:r>
          </w:p>
        </w:tc>
        <w:tc>
          <w:tcPr>
            <w:tcW w:w="2254" w:type="dxa"/>
            <w:tcBorders>
              <w:top w:val="single" w:color="000000" w:sz="0" w:space="0"/>
              <w:left w:val="single" w:color="000000" w:sz="0" w:space="0"/>
              <w:bottom w:val="single" w:color="000000" w:sz="0" w:space="0"/>
            </w:tcBorders>
          </w:tcPr>
          <w:p w14:paraId="37DB3A41">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qwen25_3b_hf_8bit</w:t>
            </w:r>
          </w:p>
        </w:tc>
        <w:tc>
          <w:tcPr>
            <w:tcW w:w="985" w:type="dxa"/>
            <w:tcBorders>
              <w:top w:val="single" w:color="000000" w:sz="0" w:space="0"/>
              <w:left w:val="single" w:color="000000" w:sz="0" w:space="0"/>
              <w:bottom w:val="single" w:color="000000" w:sz="0" w:space="0"/>
            </w:tcBorders>
          </w:tcPr>
          <w:p w14:paraId="0720DB1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0.0347</w:t>
            </w:r>
          </w:p>
        </w:tc>
      </w:tr>
      <w:tr w14:paraId="6C17B04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806" w:type="dxa"/>
            <w:tcBorders>
              <w:top w:val="single" w:color="000000" w:sz="0" w:space="0"/>
              <w:bottom w:val="single" w:color="000000" w:sz="0" w:space="0"/>
            </w:tcBorders>
          </w:tcPr>
          <w:p w14:paraId="1C51C6DF">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2</w:t>
            </w:r>
          </w:p>
        </w:tc>
        <w:tc>
          <w:tcPr>
            <w:tcW w:w="2545" w:type="dxa"/>
            <w:tcBorders>
              <w:top w:val="single" w:color="000000" w:sz="0" w:space="0"/>
              <w:left w:val="single" w:color="000000" w:sz="0" w:space="0"/>
              <w:bottom w:val="single" w:color="000000" w:sz="0" w:space="0"/>
            </w:tcBorders>
          </w:tcPr>
          <w:p w14:paraId="666D4B43">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c>
          <w:tcPr>
            <w:tcW w:w="967" w:type="dxa"/>
            <w:tcBorders>
              <w:top w:val="single" w:color="000000" w:sz="0" w:space="0"/>
              <w:left w:val="single" w:color="000000" w:sz="0" w:space="0"/>
              <w:bottom w:val="single" w:color="000000" w:sz="0" w:space="0"/>
            </w:tcBorders>
          </w:tcPr>
          <w:p w14:paraId="76EDD2A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0.0923</w:t>
            </w:r>
          </w:p>
        </w:tc>
        <w:tc>
          <w:tcPr>
            <w:tcW w:w="2254" w:type="dxa"/>
            <w:tcBorders>
              <w:top w:val="single" w:color="000000" w:sz="0" w:space="0"/>
              <w:left w:val="single" w:color="000000" w:sz="0" w:space="0"/>
              <w:bottom w:val="single" w:color="000000" w:sz="0" w:space="0"/>
            </w:tcBorders>
          </w:tcPr>
          <w:p w14:paraId="18A1E05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phi3_4b_hf_4bit</w:t>
            </w:r>
          </w:p>
        </w:tc>
        <w:tc>
          <w:tcPr>
            <w:tcW w:w="985" w:type="dxa"/>
            <w:tcBorders>
              <w:top w:val="single" w:color="000000" w:sz="0" w:space="0"/>
              <w:left w:val="single" w:color="000000" w:sz="0" w:space="0"/>
              <w:bottom w:val="single" w:color="000000" w:sz="0" w:space="0"/>
            </w:tcBorders>
          </w:tcPr>
          <w:p w14:paraId="7B61E517">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0.0265</w:t>
            </w:r>
          </w:p>
        </w:tc>
      </w:tr>
      <w:tr w14:paraId="03DD1E7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806" w:type="dxa"/>
            <w:tcBorders>
              <w:top w:val="single" w:color="000000" w:sz="0" w:space="0"/>
              <w:bottom w:val="single" w:color="000000" w:sz="0" w:space="0"/>
            </w:tcBorders>
          </w:tcPr>
          <w:p w14:paraId="21271164">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3</w:t>
            </w:r>
          </w:p>
        </w:tc>
        <w:tc>
          <w:tcPr>
            <w:tcW w:w="2545" w:type="dxa"/>
            <w:tcBorders>
              <w:top w:val="single" w:color="000000" w:sz="0" w:space="0"/>
              <w:left w:val="single" w:color="000000" w:sz="0" w:space="0"/>
              <w:bottom w:val="single" w:color="000000" w:sz="0" w:space="0"/>
            </w:tcBorders>
          </w:tcPr>
          <w:p w14:paraId="5B38B85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qwen_4b_ol_q4km</w:t>
            </w:r>
          </w:p>
        </w:tc>
        <w:tc>
          <w:tcPr>
            <w:tcW w:w="967" w:type="dxa"/>
            <w:tcBorders>
              <w:top w:val="single" w:color="000000" w:sz="0" w:space="0"/>
              <w:left w:val="single" w:color="000000" w:sz="0" w:space="0"/>
              <w:bottom w:val="single" w:color="000000" w:sz="0" w:space="0"/>
            </w:tcBorders>
          </w:tcPr>
          <w:p w14:paraId="1459694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0.0798</w:t>
            </w:r>
          </w:p>
        </w:tc>
        <w:tc>
          <w:tcPr>
            <w:tcW w:w="2254" w:type="dxa"/>
            <w:tcBorders>
              <w:top w:val="single" w:color="000000" w:sz="0" w:space="0"/>
              <w:left w:val="single" w:color="000000" w:sz="0" w:space="0"/>
              <w:bottom w:val="single" w:color="000000" w:sz="0" w:space="0"/>
            </w:tcBorders>
          </w:tcPr>
          <w:p w14:paraId="4AC23438">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phi3_4b_hf_8bit</w:t>
            </w:r>
          </w:p>
        </w:tc>
        <w:tc>
          <w:tcPr>
            <w:tcW w:w="985" w:type="dxa"/>
            <w:tcBorders>
              <w:top w:val="single" w:color="000000" w:sz="0" w:space="0"/>
              <w:left w:val="single" w:color="000000" w:sz="0" w:space="0"/>
              <w:bottom w:val="single" w:color="000000" w:sz="0" w:space="0"/>
            </w:tcBorders>
          </w:tcPr>
          <w:p w14:paraId="07360C44">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0.0263</w:t>
            </w:r>
          </w:p>
        </w:tc>
      </w:tr>
    </w:tbl>
    <w:p w14:paraId="665FFF30">
      <w:pPr>
        <w:rPr>
          <w:rFonts w:ascii="Times New Roman" w:hAnsi="Times New Roman" w:eastAsia="宋体" w:cs="Times New Roman"/>
          <w:sz w:val="24"/>
          <w:szCs w:val="24"/>
        </w:rPr>
      </w:pPr>
    </w:p>
    <w:p w14:paraId="1AAAEDC9">
      <w:pPr>
        <w:spacing w:after="220"/>
        <w:rPr>
          <w:rFonts w:ascii="Times New Roman" w:hAnsi="Times New Roman" w:eastAsia="宋体" w:cs="Times New Roman"/>
          <w:sz w:val="24"/>
          <w:szCs w:val="24"/>
        </w:rPr>
      </w:pP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 在客观偏好下表现突出，但在主观偏好下质量得分大幅下降（从 1.170 降至 -0.141），因此其方差最大，对权重最为敏感。相反，</w:t>
      </w:r>
      <w:r>
        <w:rPr>
          <w:rStyle w:val="12"/>
          <w:rFonts w:ascii="Times New Roman" w:hAnsi="Times New Roman" w:eastAsia="宋体" w:cs="Times New Roman"/>
          <w:sz w:val="24"/>
          <w:szCs w:val="24"/>
          <w:shd w:val="clear" w:color="auto" w:fill="F8F8FA"/>
        </w:rPr>
        <w:t>phi3</w:t>
      </w:r>
      <w:r>
        <w:rPr>
          <w:rFonts w:ascii="Times New Roman" w:hAnsi="Times New Roman" w:eastAsia="宋体" w:cs="Times New Roman"/>
          <w:sz w:val="24"/>
          <w:szCs w:val="24"/>
        </w:rPr>
        <w:t xml:space="preserve"> 系列模型在各任务上得分均较低且分布均匀，无论权重如何变化，其综合得分始终处于低位，故方差极小，但这也意味着它们在任何偏好下都不具竞争力。</w:t>
      </w:r>
      <w:r>
        <w:rPr>
          <w:rStyle w:val="12"/>
          <w:rFonts w:ascii="Times New Roman" w:hAnsi="Times New Roman" w:eastAsia="宋体" w:cs="Times New Roman"/>
          <w:sz w:val="24"/>
          <w:szCs w:val="24"/>
          <w:shd w:val="clear" w:color="auto" w:fill="F8F8FA"/>
        </w:rPr>
        <w:t>qwen25_3b_hf_8bit</w:t>
      </w:r>
      <w:r>
        <w:rPr>
          <w:rFonts w:ascii="Times New Roman" w:hAnsi="Times New Roman" w:eastAsia="宋体" w:cs="Times New Roman"/>
          <w:sz w:val="24"/>
          <w:szCs w:val="24"/>
        </w:rPr>
        <w:t xml:space="preserve"> 虽然得分中等，但跨任务表现相对均衡，因此对权重变化不敏感。</w:t>
      </w:r>
    </w:p>
    <w:p w14:paraId="2B2F47AA">
      <w:pPr>
        <w:spacing w:before="240" w:line="271" w:lineRule="auto"/>
        <w:rPr>
          <w:rFonts w:ascii="Times New Roman" w:hAnsi="Times New Roman" w:eastAsia="宋体" w:cs="Times New Roman"/>
          <w:sz w:val="24"/>
          <w:szCs w:val="24"/>
        </w:rPr>
      </w:pPr>
      <w:bookmarkStart w:id="13" w:name="bm_4_4_5_小结"/>
      <w:r>
        <w:rPr>
          <w:rFonts w:ascii="Times New Roman" w:hAnsi="Times New Roman" w:eastAsia="宋体" w:cs="Times New Roman"/>
          <w:b/>
          <w:sz w:val="24"/>
          <w:szCs w:val="24"/>
        </w:rPr>
        <w:t>4.4.5 小结</w:t>
      </w:r>
      <w:bookmarkEnd w:id="13"/>
    </w:p>
    <w:p w14:paraId="7FCAAE57">
      <w:pPr>
        <w:spacing w:after="220"/>
        <w:rPr>
          <w:rFonts w:ascii="Times New Roman" w:hAnsi="Times New Roman" w:eastAsia="宋体" w:cs="Times New Roman"/>
          <w:sz w:val="24"/>
          <w:szCs w:val="24"/>
        </w:rPr>
      </w:pPr>
      <w:r>
        <w:rPr>
          <w:rFonts w:ascii="Times New Roman" w:hAnsi="Times New Roman" w:eastAsia="宋体" w:cs="Times New Roman"/>
          <w:sz w:val="24"/>
          <w:szCs w:val="24"/>
        </w:rPr>
        <w:t>权重敏感性分析表明：</w:t>
      </w:r>
    </w:p>
    <w:p w14:paraId="7440B5E0">
      <w:pPr>
        <w:numPr>
          <w:ilvl w:val="0"/>
          <w:numId w:val="3"/>
        </w:numPr>
        <w:rPr>
          <w:rFonts w:ascii="Times New Roman" w:hAnsi="Times New Roman" w:eastAsia="宋体" w:cs="Times New Roman"/>
          <w:sz w:val="24"/>
          <w:szCs w:val="24"/>
        </w:rPr>
      </w:pPr>
      <w:r>
        <w:rPr>
          <w:rFonts w:ascii="Times New Roman" w:hAnsi="Times New Roman" w:eastAsia="宋体" w:cs="Times New Roman"/>
          <w:sz w:val="24"/>
          <w:szCs w:val="24"/>
        </w:rPr>
        <w:t>在 ±10% 的合理扰动范围内，模型排名高度稳定，说明本文提出的综合质量得分对权重选择具有一定的鲁棒性。</w:t>
      </w:r>
    </w:p>
    <w:p w14:paraId="6EBB5586">
      <w:pPr>
        <w:numPr>
          <w:ilvl w:val="0"/>
          <w:numId w:val="3"/>
        </w:numPr>
        <w:rPr>
          <w:rFonts w:ascii="Times New Roman" w:hAnsi="Times New Roman" w:eastAsia="宋体" w:cs="Times New Roman"/>
          <w:sz w:val="24"/>
          <w:szCs w:val="24"/>
        </w:rPr>
      </w:pPr>
      <w:r>
        <w:rPr>
          <w:rFonts w:ascii="Times New Roman" w:hAnsi="Times New Roman" w:eastAsia="宋体" w:cs="Times New Roman"/>
          <w:sz w:val="24"/>
          <w:szCs w:val="24"/>
        </w:rPr>
        <w:t>全局范围内排名一致性较高（Spearman &gt; 0.9），证实了评价体系的内在稳定性。</w:t>
      </w:r>
    </w:p>
    <w:p w14:paraId="1DF2CD30">
      <w:pPr>
        <w:numPr>
          <w:ilvl w:val="0"/>
          <w:numId w:val="3"/>
        </w:numPr>
        <w:rPr>
          <w:rFonts w:ascii="Times New Roman" w:hAnsi="Times New Roman" w:eastAsia="宋体" w:cs="Times New Roman"/>
          <w:sz w:val="24"/>
          <w:szCs w:val="24"/>
        </w:rPr>
      </w:pPr>
      <w:r>
        <w:rPr>
          <w:rFonts w:ascii="Times New Roman" w:hAnsi="Times New Roman" w:eastAsia="宋体" w:cs="Times New Roman"/>
          <w:sz w:val="24"/>
          <w:szCs w:val="24"/>
        </w:rPr>
        <w:t xml:space="preserve">对权重敏感的模型（如 </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）在特定偏好下极具优势，但需注意其排名随偏好变化的特性；对权重不敏感的模型（如 </w:t>
      </w:r>
      <w:r>
        <w:rPr>
          <w:rStyle w:val="12"/>
          <w:rFonts w:ascii="Times New Roman" w:hAnsi="Times New Roman" w:eastAsia="宋体" w:cs="Times New Roman"/>
          <w:sz w:val="24"/>
          <w:szCs w:val="24"/>
          <w:shd w:val="clear" w:color="auto" w:fill="F8F8FA"/>
        </w:rPr>
        <w:t>phi3</w:t>
      </w:r>
      <w:r>
        <w:rPr>
          <w:rFonts w:ascii="Times New Roman" w:hAnsi="Times New Roman" w:eastAsia="宋体" w:cs="Times New Roman"/>
          <w:sz w:val="24"/>
          <w:szCs w:val="24"/>
        </w:rPr>
        <w:t xml:space="preserve"> 系列）则缺乏区分度，在任何偏好下均表现平平。</w:t>
      </w:r>
    </w:p>
    <w:p w14:paraId="2560D10C">
      <w:pPr>
        <w:spacing w:after="220"/>
        <w:rPr>
          <w:rFonts w:ascii="Times New Roman" w:hAnsi="Times New Roman" w:eastAsia="宋体" w:cs="Times New Roman"/>
          <w:sz w:val="24"/>
          <w:szCs w:val="24"/>
        </w:rPr>
      </w:pPr>
      <w:r>
        <w:rPr>
          <w:rFonts w:ascii="Times New Roman" w:hAnsi="Times New Roman" w:eastAsia="宋体" w:cs="Times New Roman"/>
          <w:sz w:val="24"/>
          <w:szCs w:val="24"/>
        </w:rPr>
        <w:t>因此，在实际应用中，用户可根据自身场景选择接近的偏好模板，并参考敏感性分析结果判断排名的可靠性。若对权重取值存在疑虑，可进行类似的局部扰动检验，以确保选型决策的稳健性。</w:t>
      </w:r>
    </w:p>
    <w:p w14:paraId="0588654B">
      <w:pPr>
        <w:rPr>
          <w:rFonts w:hint="default"/>
          <w:lang w:val="en-US" w:eastAsia="zh-CN"/>
        </w:rPr>
      </w:pPr>
    </w:p>
    <w:p w14:paraId="07F957CE">
      <w:pPr>
        <w:pStyle w:val="2"/>
        <w:keepNext w:val="0"/>
        <w:keepLines w:val="0"/>
        <w:widowControl/>
        <w:suppressLineNumbers w:val="0"/>
        <w:shd w:val="clear"/>
        <w:rPr>
          <w:rFonts w:hint="eastAsia" w:ascii="Times New Roman" w:hAnsi="Times New Roman" w:cs="Times New Roman"/>
          <w:lang w:val="en-US" w:eastAsia="zh-CN"/>
        </w:rPr>
      </w:pPr>
      <w:r>
        <w:rPr>
          <w:rFonts w:hint="eastAsia" w:ascii="Times New Roman" w:hAnsi="Times New Roman" w:cs="Times New Roman"/>
          <w:lang w:val="en-US" w:eastAsia="zh-CN"/>
        </w:rPr>
        <w:t>5 成本效益分析与选择策略</w:t>
      </w:r>
    </w:p>
    <w:p w14:paraId="185298DE">
      <w:pPr>
        <w:spacing w:after="220"/>
        <w:rPr>
          <w:rFonts w:ascii="Times New Roman" w:hAnsi="Times New Roman" w:eastAsia="宋体" w:cs="Times New Roman"/>
          <w:sz w:val="24"/>
          <w:szCs w:val="24"/>
        </w:rPr>
      </w:pPr>
      <w:r>
        <w:rPr>
          <w:rFonts w:ascii="Times New Roman" w:hAnsi="Times New Roman" w:eastAsia="宋体" w:cs="Times New Roman"/>
          <w:sz w:val="24"/>
          <w:szCs w:val="24"/>
        </w:rPr>
        <w:t>在上一节中，我们通过帕累托前沿分析揭示了不同任务需求下模型在能质速三个维度上的权衡关系。然而，实际部署中决策者往往需要将多维目标转化为单一的经济性指标，以便在预算约束下做出最优选择。本章引入成本核算模型，将能耗、时间（速度）统一折算为货币成本，进而定义质量‑成本比（QPC）和成本效益比（CBR）等指标，对11个模型在三种任务类型（均衡、客观为主、主观为主）下的成本效益进行排序和比较。进一步，我们提出任务难度加权的综合成本效益分析方法，并针对不同应用场景（成本敏感、质量优先、均衡、速度关键）给出模型选择策略。最后，通过边际效益分析识别成本‑质量权衡的拐点，为决策者提供性价比最优的推荐模型。</w:t>
      </w:r>
    </w:p>
    <w:p w14:paraId="5E024531">
      <w:pPr>
        <w:pStyle w:val="3"/>
        <w:bidi w:val="0"/>
      </w:pPr>
      <w:bookmarkStart w:id="14" w:name="bm_5_1_成本核算模型与指标定义"/>
      <w:r>
        <w:t>5.1 成本核算模型与指标定义</w:t>
      </w:r>
      <w:bookmarkEnd w:id="14"/>
    </w:p>
    <w:p w14:paraId="0679E513">
      <w:pPr>
        <w:spacing w:after="220"/>
        <w:rPr>
          <w:rFonts w:ascii="Times New Roman" w:hAnsi="Times New Roman" w:eastAsia="宋体" w:cs="Times New Roman"/>
          <w:sz w:val="24"/>
          <w:szCs w:val="24"/>
        </w:rPr>
      </w:pPr>
      <w:r>
        <w:rPr>
          <w:rFonts w:ascii="Times New Roman" w:hAnsi="Times New Roman" w:eastAsia="宋体" w:cs="Times New Roman"/>
          <w:sz w:val="24"/>
          <w:szCs w:val="24"/>
        </w:rPr>
        <w:t>成本核算综合考虑了推理过程中的能耗成本与时间成本（即GPU占用成本）。采用与各任务报告一致的参数配置：</w:t>
      </w:r>
    </w:p>
    <w:p w14:paraId="19DD20F0">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电价</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kwh</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=0.08</m:t>
        </m:r>
        <m:r>
          <m:rPr>
            <m:nor/>
            <m:sty m:val="p"/>
          </m:rPr>
          <w:rPr>
            <w:rFonts w:ascii="Times New Roman" w:hAnsi="Times New Roman" w:eastAsia="宋体" w:cs="Times New Roman"/>
            <w:sz w:val="24"/>
            <w:szCs w:val="24"/>
          </w:rPr>
          <m:t xml:space="preserve"> </m:t>
        </m:r>
        <m:r>
          <m:rPr>
            <m:sty m:val="p"/>
          </m:rPr>
          <w:rPr>
            <w:rFonts w:ascii="Times New Roman" w:hAnsi="Times New Roman" w:eastAsia="宋体" w:cs="Times New Roman"/>
            <w:sz w:val="24"/>
            <w:szCs w:val="24"/>
          </w:rPr>
          <m:t>$/</m:t>
        </m:r>
        <m:r>
          <m:rPr>
            <m:nor/>
            <m:sty m:val="p"/>
          </m:rPr>
          <w:rPr>
            <w:rFonts w:ascii="Times New Roman" w:hAnsi="Times New Roman" w:eastAsia="宋体" w:cs="Times New Roman"/>
            <w:sz w:val="24"/>
            <w:szCs w:val="24"/>
          </w:rPr>
          <m:t>kWh</m:t>
        </m:r>
      </m:oMath>
    </w:p>
    <w:p w14:paraId="30B630D0">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GPU折旧成本</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gpu</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=0.25</m:t>
        </m:r>
        <m:r>
          <m:rPr>
            <m:nor/>
            <m:sty m:val="p"/>
          </m:rPr>
          <w:rPr>
            <w:rFonts w:ascii="Times New Roman" w:hAnsi="Times New Roman" w:eastAsia="宋体" w:cs="Times New Roman"/>
            <w:sz w:val="24"/>
            <w:szCs w:val="24"/>
          </w:rPr>
          <m:t xml:space="preserve"> </m:t>
        </m:r>
        <m:r>
          <m:rPr>
            <m:sty m:val="p"/>
          </m:rPr>
          <w:rPr>
            <w:rFonts w:ascii="Times New Roman" w:hAnsi="Times New Roman" w:eastAsia="宋体" w:cs="Times New Roman"/>
            <w:sz w:val="24"/>
            <w:szCs w:val="24"/>
          </w:rPr>
          <m:t>$/</m:t>
        </m:r>
        <m:r>
          <m:rPr>
            <m:nor/>
            <m:sty m:val="p"/>
          </m:rPr>
          <w:rPr>
            <w:rFonts w:ascii="Times New Roman" w:hAnsi="Times New Roman" w:eastAsia="宋体" w:cs="Times New Roman"/>
            <w:sz w:val="24"/>
            <w:szCs w:val="24"/>
          </w:rPr>
          <m:t>hour</m:t>
        </m:r>
      </m:oMath>
    </w:p>
    <w:p w14:paraId="24040B68">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时间权重</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=1.2</m:t>
        </m:r>
      </m:oMath>
      <w:r>
        <w:rPr>
          <w:rFonts w:ascii="Times New Roman" w:hAnsi="Times New Roman" w:eastAsia="宋体" w:cs="Times New Roman"/>
          <w:sz w:val="24"/>
          <w:szCs w:val="24"/>
        </w:rPr>
        <w:t>（考虑延迟对用户体验的影响）</w:t>
      </w:r>
    </w:p>
    <w:p w14:paraId="7D2D4584">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对于单个token的推理，设模型能耗为 </w:t>
      </w:r>
      <m:oMath>
        <m:r>
          <m:rPr/>
          <w:rPr>
            <w:rFonts w:ascii="Times New Roman" w:hAnsi="Times New Roman" w:eastAsia="宋体" w:cs="Times New Roman"/>
            <w:sz w:val="24"/>
            <w:szCs w:val="24"/>
          </w:rPr>
          <m:t>E</m:t>
        </m:r>
      </m:oMath>
      <w:r>
        <w:rPr>
          <w:rFonts w:ascii="Times New Roman" w:hAnsi="Times New Roman" w:eastAsia="宋体" w:cs="Times New Roman"/>
          <w:sz w:val="24"/>
          <w:szCs w:val="24"/>
        </w:rPr>
        <w:t xml:space="preserve">（J/token），速度为 </w:t>
      </w:r>
      <m:oMath>
        <m:r>
          <m:rPr/>
          <w:rPr>
            <w:rFonts w:ascii="Times New Roman" w:hAnsi="Times New Roman" w:eastAsia="宋体" w:cs="Times New Roman"/>
            <w:sz w:val="24"/>
            <w:szCs w:val="24"/>
          </w:rPr>
          <m:t>S</m:t>
        </m:r>
      </m:oMath>
      <w:r>
        <w:rPr>
          <w:rFonts w:ascii="Times New Roman" w:hAnsi="Times New Roman" w:eastAsia="宋体" w:cs="Times New Roman"/>
          <w:sz w:val="24"/>
          <w:szCs w:val="24"/>
        </w:rPr>
        <w:t xml:space="preserve">（tokens/s），则处理 </w:t>
      </w:r>
      <m:oMath>
        <m:r>
          <m:rPr/>
          <w:rPr>
            <w:rFonts w:ascii="Times New Roman" w:hAnsi="Times New Roman" w:eastAsia="宋体" w:cs="Times New Roman"/>
            <w:sz w:val="24"/>
            <w:szCs w:val="24"/>
          </w:rPr>
          <m:t>N</m:t>
        </m:r>
      </m:oMath>
      <w:r>
        <w:rPr>
          <w:rFonts w:ascii="Times New Roman" w:hAnsi="Times New Roman" w:eastAsia="宋体" w:cs="Times New Roman"/>
          <w:sz w:val="24"/>
          <w:szCs w:val="24"/>
        </w:rPr>
        <w:t xml:space="preserve"> 个token的总成本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total</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计算公式如下：</w:t>
      </w:r>
    </w:p>
    <w:p w14:paraId="776BA3A0">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energy</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E</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N</m:t>
              </m:r>
              <m:ctrlPr>
                <w:rPr>
                  <w:rFonts w:ascii="Cambria Math" w:hAnsi="Cambria Math" w:eastAsia="宋体" w:cs="Times New Roman"/>
                  <w:sz w:val="24"/>
                  <w:szCs w:val="24"/>
                </w:rPr>
              </m:ctrlPr>
            </m:num>
            <m:den>
              <m:r>
                <m:rPr>
                  <m:sty m:val="p"/>
                </m:rPr>
                <w:rPr>
                  <w:rFonts w:ascii="Times New Roman" w:hAnsi="Times New Roman" w:eastAsia="宋体" w:cs="Times New Roman"/>
                  <w:sz w:val="24"/>
                  <w:szCs w:val="24"/>
                </w:rPr>
                <m:t>3 600 000</m:t>
              </m:r>
              <m:ctrlPr>
                <w:rPr>
                  <w:rFonts w:ascii="Cambria Math" w:hAnsi="Cambria Math" w:eastAsia="宋体" w:cs="Times New Roman"/>
                  <w:sz w:val="24"/>
                  <w:szCs w:val="24"/>
                </w:rPr>
              </m:ctrlPr>
            </m:den>
          </m:f>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kwh</m:t>
              </m:r>
              <m:ctrlPr>
                <w:rPr>
                  <w:rFonts w:ascii="Cambria Math" w:hAnsi="Cambria Math" w:eastAsia="宋体" w:cs="Times New Roman"/>
                  <w:sz w:val="24"/>
                  <w:szCs w:val="24"/>
                </w:rPr>
              </m:ctrlPr>
            </m:sub>
          </m:sSub>
        </m:oMath>
      </m:oMathPara>
    </w:p>
    <w:p w14:paraId="119E0F8F">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time</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N</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S</m:t>
              </m:r>
              <m:ctrlPr>
                <w:rPr>
                  <w:rFonts w:ascii="Cambria Math" w:hAnsi="Cambria Math" w:eastAsia="宋体" w:cs="Times New Roman"/>
                  <w:sz w:val="24"/>
                  <w:szCs w:val="24"/>
                </w:rPr>
              </m:ctrlPr>
            </m:num>
            <m:den>
              <m:r>
                <m:rPr>
                  <m:sty m:val="p"/>
                </m:rPr>
                <w:rPr>
                  <w:rFonts w:ascii="Times New Roman" w:hAnsi="Times New Roman" w:eastAsia="宋体" w:cs="Times New Roman"/>
                  <w:sz w:val="24"/>
                  <w:szCs w:val="24"/>
                </w:rPr>
                <m:t>3600</m:t>
              </m:r>
              <m:ctrlPr>
                <w:rPr>
                  <w:rFonts w:ascii="Cambria Math" w:hAnsi="Cambria Math" w:eastAsia="宋体" w:cs="Times New Roman"/>
                  <w:sz w:val="24"/>
                  <w:szCs w:val="24"/>
                </w:rPr>
              </m:ctrlPr>
            </m:den>
          </m:f>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gpu</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m:oMathPara>
    </w:p>
    <w:p w14:paraId="3639931F">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total</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energy</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time</m:t>
              </m:r>
              <m:ctrlPr>
                <w:rPr>
                  <w:rFonts w:ascii="Cambria Math" w:hAnsi="Cambria Math" w:eastAsia="宋体" w:cs="Times New Roman"/>
                  <w:sz w:val="24"/>
                  <w:szCs w:val="24"/>
                </w:rPr>
              </m:ctrlPr>
            </m:sub>
          </m:sSub>
        </m:oMath>
      </m:oMathPara>
    </w:p>
    <w:p w14:paraId="53E29D16">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为消除 </w:t>
      </w:r>
      <m:oMath>
        <m:r>
          <m:rPr/>
          <w:rPr>
            <w:rFonts w:ascii="Times New Roman" w:hAnsi="Times New Roman" w:eastAsia="宋体" w:cs="Times New Roman"/>
            <w:sz w:val="24"/>
            <w:szCs w:val="24"/>
          </w:rPr>
          <m:t>N</m:t>
        </m:r>
      </m:oMath>
      <w:r>
        <w:rPr>
          <w:rFonts w:ascii="Times New Roman" w:hAnsi="Times New Roman" w:eastAsia="宋体" w:cs="Times New Roman"/>
          <w:sz w:val="24"/>
          <w:szCs w:val="24"/>
        </w:rPr>
        <w:t xml:space="preserve"> 的影响，本文采用</w:t>
      </w:r>
      <w:r>
        <w:rPr>
          <w:rFonts w:ascii="Times New Roman" w:hAnsi="Times New Roman" w:eastAsia="宋体" w:cs="Times New Roman"/>
          <w:b/>
          <w:sz w:val="24"/>
          <w:szCs w:val="24"/>
        </w:rPr>
        <w:t>单token成本</w:t>
      </w:r>
      <w:r>
        <w:rPr>
          <w:rFonts w:ascii="Times New Roman" w:hAnsi="Times New Roman" w:eastAsia="宋体" w:cs="Times New Roman"/>
          <w:sz w:val="24"/>
          <w:szCs w:val="24"/>
        </w:rPr>
        <w:t>（</w:t>
      </w:r>
      <m:oMath>
        <m:r>
          <m:rPr/>
          <w:rPr>
            <w:rFonts w:ascii="Times New Roman" w:hAnsi="Times New Roman" w:eastAsia="宋体" w:cs="Times New Roman"/>
            <w:sz w:val="24"/>
            <w:szCs w:val="24"/>
          </w:rPr>
          <m:t>N</m:t>
        </m:r>
        <m:r>
          <m:rPr>
            <m:sty m:val="p"/>
          </m:rPr>
          <w:rPr>
            <w:rFonts w:ascii="Times New Roman" w:hAnsi="Times New Roman" w:eastAsia="宋体" w:cs="Times New Roman"/>
            <w:sz w:val="24"/>
            <w:szCs w:val="24"/>
          </w:rPr>
          <m:t>=1</m:t>
        </m:r>
      </m:oMath>
      <w:r>
        <w:rPr>
          <w:rFonts w:ascii="Times New Roman" w:hAnsi="Times New Roman" w:eastAsia="宋体" w:cs="Times New Roman"/>
          <w:sz w:val="24"/>
          <w:szCs w:val="24"/>
        </w:rPr>
        <w:t>）作为模型成本度量，单位均为美元（$）。</w:t>
      </w:r>
    </w:p>
    <w:p w14:paraId="19D1098C">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基于成本 </w:t>
      </w:r>
      <m:oMath>
        <m:r>
          <m:rPr/>
          <w:rPr>
            <w:rFonts w:ascii="Times New Roman" w:hAnsi="Times New Roman" w:eastAsia="宋体" w:cs="Times New Roman"/>
            <w:sz w:val="24"/>
            <w:szCs w:val="24"/>
          </w:rPr>
          <m:t>C</m:t>
        </m:r>
      </m:oMath>
      <w:r>
        <w:rPr>
          <w:rFonts w:ascii="Times New Roman" w:hAnsi="Times New Roman" w:eastAsia="宋体" w:cs="Times New Roman"/>
          <w:sz w:val="24"/>
          <w:szCs w:val="24"/>
        </w:rPr>
        <w:t xml:space="preserve"> 和质量得分 </w:t>
      </w:r>
      <m:oMath>
        <m:r>
          <m:rPr/>
          <w:rPr>
            <w:rFonts w:ascii="Times New Roman" w:hAnsi="Times New Roman" w:eastAsia="宋体" w:cs="Times New Roman"/>
            <w:sz w:val="24"/>
            <w:szCs w:val="24"/>
          </w:rPr>
          <m:t>Q</m:t>
        </m:r>
      </m:oMath>
      <w:r>
        <w:rPr>
          <w:rFonts w:ascii="Times New Roman" w:hAnsi="Times New Roman" w:eastAsia="宋体" w:cs="Times New Roman"/>
          <w:sz w:val="24"/>
          <w:szCs w:val="24"/>
        </w:rPr>
        <w:t>（由各任务独立评估得到），定义两个核心成本效益指标：</w:t>
      </w:r>
    </w:p>
    <w:p w14:paraId="1EC0151B">
      <w:pPr>
        <w:numPr>
          <w:ilvl w:val="0"/>
          <w:numId w:val="2"/>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质量成本比（QPC, Quality per Cost）</w:t>
      </w:r>
      <w:r>
        <w:rPr>
          <w:rFonts w:ascii="Times New Roman" w:hAnsi="Times New Roman" w:eastAsia="宋体" w:cs="Times New Roman"/>
          <w:sz w:val="24"/>
          <w:szCs w:val="24"/>
        </w:rPr>
        <w:t>：</w:t>
      </w:r>
    </w:p>
    <w:p w14:paraId="72082A09">
      <w:pPr>
        <w:spacing w:after="220"/>
        <w:ind w:left="720"/>
        <w:rPr>
          <w:rFonts w:ascii="Times New Roman" w:hAnsi="Times New Roman" w:eastAsia="宋体" w:cs="Times New Roman"/>
          <w:sz w:val="24"/>
          <w:szCs w:val="24"/>
        </w:rPr>
      </w:pPr>
      <m:oMathPara>
        <m:oMath>
          <m:r>
            <m:rPr>
              <m:nor/>
              <m:sty m:val="p"/>
            </m:rPr>
            <w:rPr>
              <w:rFonts w:ascii="Times New Roman" w:hAnsi="Times New Roman" w:eastAsia="宋体" w:cs="Times New Roman"/>
              <w:b w:val="0"/>
              <w:i w:val="0"/>
              <w:sz w:val="24"/>
              <w:szCs w:val="24"/>
            </w:rPr>
            <m:t>QPC</m:t>
          </m:r>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Q</m:t>
              </m:r>
              <m:ctrlPr>
                <w:rPr>
                  <w:rFonts w:ascii="Cambria Math" w:hAnsi="Cambria Math" w:eastAsia="宋体" w:cs="Times New Roman"/>
                  <w:sz w:val="24"/>
                  <w:szCs w:val="24"/>
                </w:rPr>
              </m:ctrlPr>
            </m:num>
            <m:den>
              <m:r>
                <m:rPr/>
                <w:rPr>
                  <w:rFonts w:ascii="Times New Roman" w:hAnsi="Times New Roman" w:eastAsia="宋体" w:cs="Times New Roman"/>
                  <w:sz w:val="24"/>
                  <w:szCs w:val="24"/>
                </w:rPr>
                <m:t>C</m:t>
              </m:r>
              <m:ctrlPr>
                <w:rPr>
                  <w:rFonts w:ascii="Cambria Math" w:hAnsi="Cambria Math" w:eastAsia="宋体" w:cs="Times New Roman"/>
                  <w:sz w:val="24"/>
                  <w:szCs w:val="24"/>
                </w:rPr>
              </m:ctrlPr>
            </m:den>
          </m:f>
        </m:oMath>
      </m:oMathPara>
    </w:p>
    <w:p w14:paraId="07ED1862">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表示单位成本所能获得的质量，越大越好。</w:t>
      </w:r>
    </w:p>
    <w:p w14:paraId="1328F749">
      <w:pPr>
        <w:numPr>
          <w:ilvl w:val="0"/>
          <w:numId w:val="2"/>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成本效益比（CBR, Cost-Benefit Ratio）</w:t>
      </w:r>
      <w:r>
        <w:rPr>
          <w:rFonts w:ascii="Times New Roman" w:hAnsi="Times New Roman" w:eastAsia="宋体" w:cs="Times New Roman"/>
          <w:sz w:val="24"/>
          <w:szCs w:val="24"/>
        </w:rPr>
        <w:t>：</w:t>
      </w:r>
    </w:p>
    <w:p w14:paraId="45E1B168">
      <w:pPr>
        <w:spacing w:after="220"/>
        <w:ind w:left="720"/>
        <w:rPr>
          <w:rFonts w:ascii="Times New Roman" w:hAnsi="Times New Roman" w:eastAsia="宋体" w:cs="Times New Roman"/>
          <w:sz w:val="24"/>
          <w:szCs w:val="24"/>
        </w:rPr>
      </w:pPr>
      <m:oMathPara>
        <m:oMath>
          <m:r>
            <m:rPr>
              <m:nor/>
              <m:sty m:val="p"/>
            </m:rPr>
            <w:rPr>
              <w:rFonts w:ascii="Times New Roman" w:hAnsi="Times New Roman" w:eastAsia="宋体" w:cs="Times New Roman"/>
              <w:b w:val="0"/>
              <w:i w:val="0"/>
              <w:sz w:val="24"/>
              <w:szCs w:val="24"/>
            </w:rPr>
            <m:t>CBR</m:t>
          </m:r>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C</m:t>
              </m:r>
              <m:ctrlPr>
                <w:rPr>
                  <w:rFonts w:ascii="Cambria Math" w:hAnsi="Cambria Math" w:eastAsia="宋体" w:cs="Times New Roman"/>
                  <w:sz w:val="24"/>
                  <w:szCs w:val="24"/>
                </w:rPr>
              </m:ctrlPr>
            </m:num>
            <m:den>
              <m:r>
                <m:rPr/>
                <w:rPr>
                  <w:rFonts w:ascii="Times New Roman" w:hAnsi="Times New Roman" w:eastAsia="宋体" w:cs="Times New Roman"/>
                  <w:sz w:val="24"/>
                  <w:szCs w:val="24"/>
                </w:rPr>
                <m:t>Q</m:t>
              </m:r>
              <m:ctrlPr>
                <w:rPr>
                  <w:rFonts w:ascii="Cambria Math" w:hAnsi="Cambria Math" w:eastAsia="宋体" w:cs="Times New Roman"/>
                  <w:sz w:val="24"/>
                  <w:szCs w:val="24"/>
                </w:rPr>
              </m:ctrlPr>
            </m:den>
          </m:f>
        </m:oMath>
      </m:oMathPara>
    </w:p>
    <w:p w14:paraId="2E29B9BF">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表示获得单位质量所需投入的成本，越小越好。该指标在成本敏感场景中尤其重要。</w:t>
      </w:r>
    </w:p>
    <w:p w14:paraId="74E140DA">
      <w:pPr>
        <w:pStyle w:val="3"/>
        <w:bidi w:val="0"/>
      </w:pPr>
      <w:bookmarkStart w:id="15" w:name="bm_5_2_跨任务成本效益比较与模型排序"/>
      <w:r>
        <w:t>5.2 跨任务成本效益比较与模型排序</w:t>
      </w:r>
      <w:bookmarkEnd w:id="15"/>
    </w:p>
    <w:p w14:paraId="20E344AD">
      <w:pPr>
        <w:spacing w:after="220"/>
        <w:rPr>
          <w:rFonts w:ascii="Times New Roman" w:hAnsi="Times New Roman" w:eastAsia="宋体" w:cs="Times New Roman"/>
          <w:sz w:val="24"/>
          <w:szCs w:val="24"/>
        </w:rPr>
      </w:pPr>
      <w:r>
        <w:rPr>
          <w:rFonts w:ascii="Times New Roman" w:hAnsi="Times New Roman" w:eastAsia="宋体" w:cs="Times New Roman"/>
          <w:sz w:val="24"/>
          <w:szCs w:val="24"/>
        </w:rPr>
        <w:t>根据三个独立任务类型（均衡配置、客观任务为主、主观任务为主）的成本效益分析报告，分别对11个模型按QPC和CBR进行排序。表5‑1汇总了各任务类型中排名前5的模型及其关键指标。</w:t>
      </w:r>
    </w:p>
    <w:p w14:paraId="7F86A944">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表5‑1 各任务类型成本效益前5名模型</w:t>
      </w:r>
    </w:p>
    <w:tbl>
      <w:tblPr>
        <w:tblStyle w:val="11"/>
        <w:tblW w:w="9705" w:type="dxa"/>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1268"/>
        <w:gridCol w:w="837"/>
        <w:gridCol w:w="2391"/>
        <w:gridCol w:w="1198"/>
        <w:gridCol w:w="1248"/>
        <w:gridCol w:w="1355"/>
        <w:gridCol w:w="1408"/>
      </w:tblGrid>
      <w:tr w14:paraId="0FF087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bottom w:val="single" w:color="auto" w:sz="8" w:space="0"/>
            </w:tcBorders>
            <w:vAlign w:val="center"/>
          </w:tcPr>
          <w:p w14:paraId="63BA79C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任务类型</w:t>
            </w:r>
          </w:p>
        </w:tc>
        <w:tc>
          <w:tcPr>
            <w:tcW w:w="837" w:type="dxa"/>
            <w:tcBorders>
              <w:bottom w:val="single" w:color="auto" w:sz="8" w:space="0"/>
            </w:tcBorders>
            <w:vAlign w:val="center"/>
          </w:tcPr>
          <w:p w14:paraId="7717BEF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排名</w:t>
            </w:r>
          </w:p>
        </w:tc>
        <w:tc>
          <w:tcPr>
            <w:tcW w:w="2391" w:type="dxa"/>
            <w:tcBorders>
              <w:bottom w:val="single" w:color="auto" w:sz="8" w:space="0"/>
            </w:tcBorders>
            <w:vAlign w:val="center"/>
          </w:tcPr>
          <w:p w14:paraId="0B6CCD8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模型</w:t>
            </w:r>
          </w:p>
        </w:tc>
        <w:tc>
          <w:tcPr>
            <w:tcW w:w="1198" w:type="dxa"/>
            <w:tcBorders>
              <w:bottom w:val="single" w:color="auto" w:sz="8" w:space="0"/>
            </w:tcBorders>
            <w:vAlign w:val="center"/>
          </w:tcPr>
          <w:p w14:paraId="642DB94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QPC</w:t>
            </w:r>
          </w:p>
        </w:tc>
        <w:tc>
          <w:tcPr>
            <w:tcW w:w="1248" w:type="dxa"/>
            <w:tcBorders>
              <w:bottom w:val="single" w:color="auto" w:sz="8" w:space="0"/>
            </w:tcBorders>
            <w:vAlign w:val="center"/>
          </w:tcPr>
          <w:p w14:paraId="70FF670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CBR</w:t>
            </w:r>
          </w:p>
        </w:tc>
        <w:tc>
          <w:tcPr>
            <w:tcW w:w="1355" w:type="dxa"/>
            <w:tcBorders>
              <w:bottom w:val="single" w:color="auto" w:sz="8" w:space="0"/>
            </w:tcBorders>
            <w:vAlign w:val="center"/>
          </w:tcPr>
          <w:p w14:paraId="1B6AB2E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质量得分</w:t>
            </w:r>
          </w:p>
        </w:tc>
        <w:tc>
          <w:tcPr>
            <w:tcW w:w="1408" w:type="dxa"/>
            <w:tcBorders>
              <w:bottom w:val="single" w:color="auto" w:sz="8" w:space="0"/>
            </w:tcBorders>
            <w:vAlign w:val="center"/>
          </w:tcPr>
          <w:p w14:paraId="060DC91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成本</w:t>
            </w:r>
          </w:p>
        </w:tc>
      </w:tr>
      <w:tr w14:paraId="24A59F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64EA8AA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均衡配置</w:t>
            </w:r>
          </w:p>
        </w:tc>
        <w:tc>
          <w:tcPr>
            <w:tcW w:w="837" w:type="dxa"/>
            <w:tcBorders>
              <w:tl2br w:val="nil"/>
              <w:tr2bl w:val="nil"/>
            </w:tcBorders>
            <w:vAlign w:val="center"/>
          </w:tcPr>
          <w:p w14:paraId="1E61197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w:t>
            </w:r>
          </w:p>
        </w:tc>
        <w:tc>
          <w:tcPr>
            <w:tcW w:w="2391" w:type="dxa"/>
            <w:tcBorders>
              <w:tl2br w:val="nil"/>
              <w:tr2bl w:val="nil"/>
            </w:tcBorders>
            <w:vAlign w:val="center"/>
          </w:tcPr>
          <w:p w14:paraId="676D0107">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c>
          <w:tcPr>
            <w:tcW w:w="1198" w:type="dxa"/>
            <w:tcBorders>
              <w:tl2br w:val="nil"/>
              <w:tr2bl w:val="nil"/>
            </w:tcBorders>
            <w:vAlign w:val="center"/>
          </w:tcPr>
          <w:p w14:paraId="29235B5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350.1355</w:t>
            </w:r>
          </w:p>
        </w:tc>
        <w:tc>
          <w:tcPr>
            <w:tcW w:w="1248" w:type="dxa"/>
            <w:tcBorders>
              <w:tl2br w:val="nil"/>
              <w:tr2bl w:val="nil"/>
            </w:tcBorders>
            <w:vAlign w:val="center"/>
          </w:tcPr>
          <w:p w14:paraId="726B215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0.002856</w:t>
            </w:r>
          </w:p>
        </w:tc>
        <w:tc>
          <w:tcPr>
            <w:tcW w:w="1355" w:type="dxa"/>
            <w:tcBorders>
              <w:tl2br w:val="nil"/>
              <w:tr2bl w:val="nil"/>
            </w:tcBorders>
            <w:vAlign w:val="center"/>
          </w:tcPr>
          <w:p w14:paraId="7686590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0.7255</w:t>
            </w:r>
          </w:p>
        </w:tc>
        <w:tc>
          <w:tcPr>
            <w:tcW w:w="1408" w:type="dxa"/>
            <w:tcBorders>
              <w:tl2br w:val="nil"/>
              <w:tr2bl w:val="nil"/>
            </w:tcBorders>
            <w:vAlign w:val="center"/>
          </w:tcPr>
          <w:p w14:paraId="59008E2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0.002072</w:t>
            </w:r>
          </w:p>
        </w:tc>
      </w:tr>
      <w:tr w14:paraId="6BA5CF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3A5AF2F1">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44949AF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2</w:t>
            </w:r>
          </w:p>
        </w:tc>
        <w:tc>
          <w:tcPr>
            <w:tcW w:w="2391" w:type="dxa"/>
            <w:tcBorders>
              <w:tl2br w:val="nil"/>
              <w:tr2bl w:val="nil"/>
            </w:tcBorders>
            <w:vAlign w:val="center"/>
          </w:tcPr>
          <w:p w14:paraId="4E33241B">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qwen25_3b_hf_4bit</w:t>
            </w:r>
          </w:p>
        </w:tc>
        <w:tc>
          <w:tcPr>
            <w:tcW w:w="1198" w:type="dxa"/>
            <w:tcBorders>
              <w:tl2br w:val="nil"/>
              <w:tr2bl w:val="nil"/>
            </w:tcBorders>
            <w:vAlign w:val="center"/>
          </w:tcPr>
          <w:p w14:paraId="7D7B7C4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210.9454</w:t>
            </w:r>
          </w:p>
        </w:tc>
        <w:tc>
          <w:tcPr>
            <w:tcW w:w="1248" w:type="dxa"/>
            <w:tcBorders>
              <w:tl2br w:val="nil"/>
              <w:tr2bl w:val="nil"/>
            </w:tcBorders>
            <w:vAlign w:val="center"/>
          </w:tcPr>
          <w:p w14:paraId="1A3F9C7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0.004741</w:t>
            </w:r>
          </w:p>
        </w:tc>
        <w:tc>
          <w:tcPr>
            <w:tcW w:w="1355" w:type="dxa"/>
            <w:tcBorders>
              <w:tl2br w:val="nil"/>
              <w:tr2bl w:val="nil"/>
            </w:tcBorders>
            <w:vAlign w:val="center"/>
          </w:tcPr>
          <w:p w14:paraId="48315C3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1.0215</w:t>
            </w:r>
          </w:p>
        </w:tc>
        <w:tc>
          <w:tcPr>
            <w:tcW w:w="1408" w:type="dxa"/>
            <w:tcBorders>
              <w:tl2br w:val="nil"/>
              <w:tr2bl w:val="nil"/>
            </w:tcBorders>
            <w:vAlign w:val="center"/>
          </w:tcPr>
          <w:p w14:paraId="472FD89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0.004843</w:t>
            </w:r>
          </w:p>
        </w:tc>
      </w:tr>
      <w:tr w14:paraId="3DB07F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461DCE6C">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749B432A">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3</w:t>
            </w:r>
          </w:p>
        </w:tc>
        <w:tc>
          <w:tcPr>
            <w:tcW w:w="2391" w:type="dxa"/>
            <w:tcBorders>
              <w:tl2br w:val="nil"/>
              <w:tr2bl w:val="nil"/>
            </w:tcBorders>
            <w:vAlign w:val="center"/>
          </w:tcPr>
          <w:p w14:paraId="2A8BF090">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gemma_4b_ol_q4km</w:t>
            </w:r>
          </w:p>
        </w:tc>
        <w:tc>
          <w:tcPr>
            <w:tcW w:w="1198" w:type="dxa"/>
            <w:tcBorders>
              <w:tl2br w:val="nil"/>
              <w:tr2bl w:val="nil"/>
            </w:tcBorders>
            <w:vAlign w:val="center"/>
          </w:tcPr>
          <w:p w14:paraId="51808A9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173.1623</w:t>
            </w:r>
          </w:p>
        </w:tc>
        <w:tc>
          <w:tcPr>
            <w:tcW w:w="1248" w:type="dxa"/>
            <w:tcBorders>
              <w:tl2br w:val="nil"/>
              <w:tr2bl w:val="nil"/>
            </w:tcBorders>
            <w:vAlign w:val="center"/>
          </w:tcPr>
          <w:p w14:paraId="47E74C8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0.005775</w:t>
            </w:r>
          </w:p>
        </w:tc>
        <w:tc>
          <w:tcPr>
            <w:tcW w:w="1355" w:type="dxa"/>
            <w:tcBorders>
              <w:tl2br w:val="nil"/>
              <w:tr2bl w:val="nil"/>
            </w:tcBorders>
            <w:vAlign w:val="center"/>
          </w:tcPr>
          <w:p w14:paraId="7656658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0.3643</w:t>
            </w:r>
          </w:p>
        </w:tc>
        <w:tc>
          <w:tcPr>
            <w:tcW w:w="1408" w:type="dxa"/>
            <w:tcBorders>
              <w:tl2br w:val="nil"/>
              <w:tr2bl w:val="nil"/>
            </w:tcBorders>
            <w:vAlign w:val="center"/>
          </w:tcPr>
          <w:p w14:paraId="5FEFD20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0.002104</w:t>
            </w:r>
          </w:p>
        </w:tc>
      </w:tr>
      <w:tr w14:paraId="5D62AC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7FEB2C1F">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19BC64A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4</w:t>
            </w:r>
          </w:p>
        </w:tc>
        <w:tc>
          <w:tcPr>
            <w:tcW w:w="2391" w:type="dxa"/>
            <w:tcBorders>
              <w:tl2br w:val="nil"/>
              <w:tr2bl w:val="nil"/>
            </w:tcBorders>
            <w:vAlign w:val="center"/>
          </w:tcPr>
          <w:p w14:paraId="310E683A">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qwen25_7b_hf_4bit</w:t>
            </w:r>
          </w:p>
        </w:tc>
        <w:tc>
          <w:tcPr>
            <w:tcW w:w="1198" w:type="dxa"/>
            <w:tcBorders>
              <w:tl2br w:val="nil"/>
              <w:tr2bl w:val="nil"/>
            </w:tcBorders>
            <w:vAlign w:val="center"/>
          </w:tcPr>
          <w:p w14:paraId="48EFA2F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143.5673</w:t>
            </w:r>
          </w:p>
        </w:tc>
        <w:tc>
          <w:tcPr>
            <w:tcW w:w="1248" w:type="dxa"/>
            <w:tcBorders>
              <w:tl2br w:val="nil"/>
              <w:tr2bl w:val="nil"/>
            </w:tcBorders>
            <w:vAlign w:val="center"/>
          </w:tcPr>
          <w:p w14:paraId="2D23E8E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0.006965</w:t>
            </w:r>
          </w:p>
        </w:tc>
        <w:tc>
          <w:tcPr>
            <w:tcW w:w="1355" w:type="dxa"/>
            <w:tcBorders>
              <w:tl2br w:val="nil"/>
              <w:tr2bl w:val="nil"/>
            </w:tcBorders>
            <w:vAlign w:val="center"/>
          </w:tcPr>
          <w:p w14:paraId="5F67C96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0.6893</w:t>
            </w:r>
          </w:p>
        </w:tc>
        <w:tc>
          <w:tcPr>
            <w:tcW w:w="1408" w:type="dxa"/>
            <w:tcBorders>
              <w:tl2br w:val="nil"/>
              <w:tr2bl w:val="nil"/>
            </w:tcBorders>
            <w:vAlign w:val="center"/>
          </w:tcPr>
          <w:p w14:paraId="6F35E89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0.004801</w:t>
            </w:r>
          </w:p>
        </w:tc>
      </w:tr>
      <w:tr w14:paraId="51B655B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67A6762A">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2803421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5</w:t>
            </w:r>
          </w:p>
        </w:tc>
        <w:tc>
          <w:tcPr>
            <w:tcW w:w="2391" w:type="dxa"/>
            <w:tcBorders>
              <w:tl2br w:val="nil"/>
              <w:tr2bl w:val="nil"/>
            </w:tcBorders>
            <w:vAlign w:val="center"/>
          </w:tcPr>
          <w:p w14:paraId="6EFF619E">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qwen25_3b_hf_8bit</w:t>
            </w:r>
          </w:p>
        </w:tc>
        <w:tc>
          <w:tcPr>
            <w:tcW w:w="1198" w:type="dxa"/>
            <w:tcBorders>
              <w:tl2br w:val="nil"/>
              <w:tr2bl w:val="nil"/>
            </w:tcBorders>
            <w:vAlign w:val="center"/>
          </w:tcPr>
          <w:p w14:paraId="56BFA72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52.5980</w:t>
            </w:r>
          </w:p>
        </w:tc>
        <w:tc>
          <w:tcPr>
            <w:tcW w:w="1248" w:type="dxa"/>
            <w:tcBorders>
              <w:tl2br w:val="nil"/>
              <w:tr2bl w:val="nil"/>
            </w:tcBorders>
            <w:vAlign w:val="center"/>
          </w:tcPr>
          <w:p w14:paraId="2A9DCF1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0.019012</w:t>
            </w:r>
          </w:p>
        </w:tc>
        <w:tc>
          <w:tcPr>
            <w:tcW w:w="1355" w:type="dxa"/>
            <w:tcBorders>
              <w:tl2br w:val="nil"/>
              <w:tr2bl w:val="nil"/>
            </w:tcBorders>
            <w:vAlign w:val="center"/>
          </w:tcPr>
          <w:p w14:paraId="51B7A44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0.6066</w:t>
            </w:r>
          </w:p>
        </w:tc>
        <w:tc>
          <w:tcPr>
            <w:tcW w:w="1408" w:type="dxa"/>
            <w:tcBorders>
              <w:tl2br w:val="nil"/>
              <w:tr2bl w:val="nil"/>
            </w:tcBorders>
            <w:vAlign w:val="center"/>
          </w:tcPr>
          <w:p w14:paraId="5F98DCD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0.011533</w:t>
            </w:r>
          </w:p>
        </w:tc>
      </w:tr>
      <w:tr w14:paraId="7372241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231A4AA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客观为主</w:t>
            </w:r>
          </w:p>
        </w:tc>
        <w:tc>
          <w:tcPr>
            <w:tcW w:w="837" w:type="dxa"/>
            <w:tcBorders>
              <w:tl2br w:val="nil"/>
              <w:tr2bl w:val="nil"/>
            </w:tcBorders>
            <w:vAlign w:val="center"/>
          </w:tcPr>
          <w:p w14:paraId="6BCFFF5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w:t>
            </w:r>
          </w:p>
        </w:tc>
        <w:tc>
          <w:tcPr>
            <w:tcW w:w="2391" w:type="dxa"/>
            <w:tcBorders>
              <w:tl2br w:val="nil"/>
              <w:tr2bl w:val="nil"/>
            </w:tcBorders>
            <w:vAlign w:val="center"/>
          </w:tcPr>
          <w:p w14:paraId="1E673F99">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gemma_4b_ol_q4km</w:t>
            </w:r>
          </w:p>
        </w:tc>
        <w:tc>
          <w:tcPr>
            <w:tcW w:w="1198" w:type="dxa"/>
            <w:tcBorders>
              <w:tl2br w:val="nil"/>
              <w:tr2bl w:val="nil"/>
            </w:tcBorders>
            <w:vAlign w:val="center"/>
          </w:tcPr>
          <w:p w14:paraId="6919EE0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556.2864</w:t>
            </w:r>
          </w:p>
        </w:tc>
        <w:tc>
          <w:tcPr>
            <w:tcW w:w="1248" w:type="dxa"/>
            <w:tcBorders>
              <w:tl2br w:val="nil"/>
              <w:tr2bl w:val="nil"/>
            </w:tcBorders>
            <w:vAlign w:val="center"/>
          </w:tcPr>
          <w:p w14:paraId="387C5D2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0.001798</w:t>
            </w:r>
          </w:p>
        </w:tc>
        <w:tc>
          <w:tcPr>
            <w:tcW w:w="1355" w:type="dxa"/>
            <w:tcBorders>
              <w:tl2br w:val="nil"/>
              <w:tr2bl w:val="nil"/>
            </w:tcBorders>
            <w:vAlign w:val="center"/>
          </w:tcPr>
          <w:p w14:paraId="4B97A8F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1.1704</w:t>
            </w:r>
          </w:p>
        </w:tc>
        <w:tc>
          <w:tcPr>
            <w:tcW w:w="1408" w:type="dxa"/>
            <w:tcBorders>
              <w:tl2br w:val="nil"/>
              <w:tr2bl w:val="nil"/>
            </w:tcBorders>
            <w:vAlign w:val="center"/>
          </w:tcPr>
          <w:p w14:paraId="4A7E321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0.002104</w:t>
            </w:r>
          </w:p>
        </w:tc>
      </w:tr>
      <w:tr w14:paraId="78C9EA4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0CE365A7">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785C4BF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2</w:t>
            </w:r>
          </w:p>
        </w:tc>
        <w:tc>
          <w:tcPr>
            <w:tcW w:w="2391" w:type="dxa"/>
            <w:tcBorders>
              <w:tl2br w:val="nil"/>
              <w:tr2bl w:val="nil"/>
            </w:tcBorders>
            <w:vAlign w:val="center"/>
          </w:tcPr>
          <w:p w14:paraId="33458DE1">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c>
          <w:tcPr>
            <w:tcW w:w="1198" w:type="dxa"/>
            <w:tcBorders>
              <w:tl2br w:val="nil"/>
              <w:tr2bl w:val="nil"/>
            </w:tcBorders>
            <w:vAlign w:val="center"/>
          </w:tcPr>
          <w:p w14:paraId="5F6A57E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294.7431</w:t>
            </w:r>
          </w:p>
        </w:tc>
        <w:tc>
          <w:tcPr>
            <w:tcW w:w="1248" w:type="dxa"/>
            <w:tcBorders>
              <w:tl2br w:val="nil"/>
              <w:tr2bl w:val="nil"/>
            </w:tcBorders>
            <w:vAlign w:val="center"/>
          </w:tcPr>
          <w:p w14:paraId="24BB786A">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0.003393</w:t>
            </w:r>
          </w:p>
        </w:tc>
        <w:tc>
          <w:tcPr>
            <w:tcW w:w="1355" w:type="dxa"/>
            <w:tcBorders>
              <w:tl2br w:val="nil"/>
              <w:tr2bl w:val="nil"/>
            </w:tcBorders>
            <w:vAlign w:val="center"/>
          </w:tcPr>
          <w:p w14:paraId="37C71E7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0.6108</w:t>
            </w:r>
          </w:p>
        </w:tc>
        <w:tc>
          <w:tcPr>
            <w:tcW w:w="1408" w:type="dxa"/>
            <w:tcBorders>
              <w:tl2br w:val="nil"/>
              <w:tr2bl w:val="nil"/>
            </w:tcBorders>
            <w:vAlign w:val="center"/>
          </w:tcPr>
          <w:p w14:paraId="064D699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0.002072</w:t>
            </w:r>
          </w:p>
        </w:tc>
      </w:tr>
      <w:tr w14:paraId="0DA535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2100682E">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72596EF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3</w:t>
            </w:r>
          </w:p>
        </w:tc>
        <w:tc>
          <w:tcPr>
            <w:tcW w:w="2391" w:type="dxa"/>
            <w:tcBorders>
              <w:tl2br w:val="nil"/>
              <w:tr2bl w:val="nil"/>
            </w:tcBorders>
            <w:vAlign w:val="center"/>
          </w:tcPr>
          <w:p w14:paraId="23C9DCA6">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qwen25_3b_hf_4bit</w:t>
            </w:r>
          </w:p>
        </w:tc>
        <w:tc>
          <w:tcPr>
            <w:tcW w:w="1198" w:type="dxa"/>
            <w:tcBorders>
              <w:tl2br w:val="nil"/>
              <w:tr2bl w:val="nil"/>
            </w:tcBorders>
            <w:vAlign w:val="center"/>
          </w:tcPr>
          <w:p w14:paraId="35C6383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192.8215</w:t>
            </w:r>
          </w:p>
        </w:tc>
        <w:tc>
          <w:tcPr>
            <w:tcW w:w="1248" w:type="dxa"/>
            <w:tcBorders>
              <w:tl2br w:val="nil"/>
              <w:tr2bl w:val="nil"/>
            </w:tcBorders>
            <w:vAlign w:val="center"/>
          </w:tcPr>
          <w:p w14:paraId="72D0719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0.005186</w:t>
            </w:r>
          </w:p>
        </w:tc>
        <w:tc>
          <w:tcPr>
            <w:tcW w:w="1355" w:type="dxa"/>
            <w:tcBorders>
              <w:tl2br w:val="nil"/>
              <w:tr2bl w:val="nil"/>
            </w:tcBorders>
            <w:vAlign w:val="center"/>
          </w:tcPr>
          <w:p w14:paraId="05ECA58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0.9338</w:t>
            </w:r>
          </w:p>
        </w:tc>
        <w:tc>
          <w:tcPr>
            <w:tcW w:w="1408" w:type="dxa"/>
            <w:tcBorders>
              <w:tl2br w:val="nil"/>
              <w:tr2bl w:val="nil"/>
            </w:tcBorders>
            <w:vAlign w:val="center"/>
          </w:tcPr>
          <w:p w14:paraId="0610EE3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0.004843</w:t>
            </w:r>
          </w:p>
        </w:tc>
      </w:tr>
      <w:tr w14:paraId="0D410A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717CAD9D">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4D1F330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4</w:t>
            </w:r>
          </w:p>
        </w:tc>
        <w:tc>
          <w:tcPr>
            <w:tcW w:w="2391" w:type="dxa"/>
            <w:tcBorders>
              <w:tl2br w:val="nil"/>
              <w:tr2bl w:val="nil"/>
            </w:tcBorders>
            <w:vAlign w:val="center"/>
          </w:tcPr>
          <w:p w14:paraId="7A7236C5">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qwen25_7b_hf_4bit</w:t>
            </w:r>
          </w:p>
        </w:tc>
        <w:tc>
          <w:tcPr>
            <w:tcW w:w="1198" w:type="dxa"/>
            <w:tcBorders>
              <w:tl2br w:val="nil"/>
              <w:tr2bl w:val="nil"/>
            </w:tcBorders>
            <w:vAlign w:val="center"/>
          </w:tcPr>
          <w:p w14:paraId="74596E9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170.9170</w:t>
            </w:r>
          </w:p>
        </w:tc>
        <w:tc>
          <w:tcPr>
            <w:tcW w:w="1248" w:type="dxa"/>
            <w:tcBorders>
              <w:tl2br w:val="nil"/>
              <w:tr2bl w:val="nil"/>
            </w:tcBorders>
            <w:vAlign w:val="center"/>
          </w:tcPr>
          <w:p w14:paraId="6DA109C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0.005851</w:t>
            </w:r>
          </w:p>
        </w:tc>
        <w:tc>
          <w:tcPr>
            <w:tcW w:w="1355" w:type="dxa"/>
            <w:tcBorders>
              <w:tl2br w:val="nil"/>
              <w:tr2bl w:val="nil"/>
            </w:tcBorders>
            <w:vAlign w:val="center"/>
          </w:tcPr>
          <w:p w14:paraId="52C2D9D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0.8207</w:t>
            </w:r>
          </w:p>
        </w:tc>
        <w:tc>
          <w:tcPr>
            <w:tcW w:w="1408" w:type="dxa"/>
            <w:tcBorders>
              <w:tl2br w:val="nil"/>
              <w:tr2bl w:val="nil"/>
            </w:tcBorders>
            <w:vAlign w:val="center"/>
          </w:tcPr>
          <w:p w14:paraId="54712A8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0.004801</w:t>
            </w:r>
          </w:p>
        </w:tc>
      </w:tr>
      <w:tr w14:paraId="5B20A0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460C5322">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11A305D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5</w:t>
            </w:r>
          </w:p>
        </w:tc>
        <w:tc>
          <w:tcPr>
            <w:tcW w:w="2391" w:type="dxa"/>
            <w:tcBorders>
              <w:tl2br w:val="nil"/>
              <w:tr2bl w:val="nil"/>
            </w:tcBorders>
            <w:vAlign w:val="center"/>
          </w:tcPr>
          <w:p w14:paraId="4F1E02C1">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qwen25_3b_hf_8bit</w:t>
            </w:r>
          </w:p>
        </w:tc>
        <w:tc>
          <w:tcPr>
            <w:tcW w:w="1198" w:type="dxa"/>
            <w:tcBorders>
              <w:tl2br w:val="nil"/>
              <w:tr2bl w:val="nil"/>
            </w:tcBorders>
            <w:vAlign w:val="center"/>
          </w:tcPr>
          <w:p w14:paraId="4F92FB5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40.6528</w:t>
            </w:r>
          </w:p>
        </w:tc>
        <w:tc>
          <w:tcPr>
            <w:tcW w:w="1248" w:type="dxa"/>
            <w:tcBorders>
              <w:tl2br w:val="nil"/>
              <w:tr2bl w:val="nil"/>
            </w:tcBorders>
            <w:vAlign w:val="center"/>
          </w:tcPr>
          <w:p w14:paraId="293EFA6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0.024599</w:t>
            </w:r>
          </w:p>
        </w:tc>
        <w:tc>
          <w:tcPr>
            <w:tcW w:w="1355" w:type="dxa"/>
            <w:tcBorders>
              <w:tl2br w:val="nil"/>
              <w:tr2bl w:val="nil"/>
            </w:tcBorders>
            <w:vAlign w:val="center"/>
          </w:tcPr>
          <w:p w14:paraId="4CE130E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0.4688</w:t>
            </w:r>
          </w:p>
        </w:tc>
        <w:tc>
          <w:tcPr>
            <w:tcW w:w="1408" w:type="dxa"/>
            <w:tcBorders>
              <w:tl2br w:val="nil"/>
              <w:tr2bl w:val="nil"/>
            </w:tcBorders>
            <w:vAlign w:val="center"/>
          </w:tcPr>
          <w:p w14:paraId="2957720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0.011533</w:t>
            </w:r>
          </w:p>
        </w:tc>
      </w:tr>
      <w:tr w14:paraId="50F8826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16418D0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主观为主</w:t>
            </w:r>
          </w:p>
        </w:tc>
        <w:tc>
          <w:tcPr>
            <w:tcW w:w="837" w:type="dxa"/>
            <w:tcBorders>
              <w:tl2br w:val="nil"/>
              <w:tr2bl w:val="nil"/>
            </w:tcBorders>
            <w:vAlign w:val="center"/>
          </w:tcPr>
          <w:p w14:paraId="1C7B2B7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w:t>
            </w:r>
          </w:p>
        </w:tc>
        <w:tc>
          <w:tcPr>
            <w:tcW w:w="2391" w:type="dxa"/>
            <w:tcBorders>
              <w:tl2br w:val="nil"/>
              <w:tr2bl w:val="nil"/>
            </w:tcBorders>
            <w:vAlign w:val="center"/>
          </w:tcPr>
          <w:p w14:paraId="4083C124">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qwen25_3b_hf_4bit</w:t>
            </w:r>
          </w:p>
        </w:tc>
        <w:tc>
          <w:tcPr>
            <w:tcW w:w="1198" w:type="dxa"/>
            <w:tcBorders>
              <w:tl2br w:val="nil"/>
              <w:tr2bl w:val="nil"/>
            </w:tcBorders>
            <w:vAlign w:val="center"/>
          </w:tcPr>
          <w:p w14:paraId="1D672BD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281.7008</w:t>
            </w:r>
          </w:p>
        </w:tc>
        <w:tc>
          <w:tcPr>
            <w:tcW w:w="1248" w:type="dxa"/>
            <w:tcBorders>
              <w:tl2br w:val="nil"/>
              <w:tr2bl w:val="nil"/>
            </w:tcBorders>
            <w:vAlign w:val="center"/>
          </w:tcPr>
          <w:p w14:paraId="2CDF620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0.003550</w:t>
            </w:r>
          </w:p>
        </w:tc>
        <w:tc>
          <w:tcPr>
            <w:tcW w:w="1355" w:type="dxa"/>
            <w:tcBorders>
              <w:tl2br w:val="nil"/>
              <w:tr2bl w:val="nil"/>
            </w:tcBorders>
            <w:vAlign w:val="center"/>
          </w:tcPr>
          <w:p w14:paraId="3B5635A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1.3642</w:t>
            </w:r>
          </w:p>
        </w:tc>
        <w:tc>
          <w:tcPr>
            <w:tcW w:w="1408" w:type="dxa"/>
            <w:tcBorders>
              <w:tl2br w:val="nil"/>
              <w:tr2bl w:val="nil"/>
            </w:tcBorders>
            <w:vAlign w:val="center"/>
          </w:tcPr>
          <w:p w14:paraId="452B5EF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0.004843</w:t>
            </w:r>
          </w:p>
        </w:tc>
      </w:tr>
      <w:tr w14:paraId="52422E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7FDBB47C">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32D228D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2</w:t>
            </w:r>
          </w:p>
        </w:tc>
        <w:tc>
          <w:tcPr>
            <w:tcW w:w="2391" w:type="dxa"/>
            <w:tcBorders>
              <w:tl2br w:val="nil"/>
              <w:tr2bl w:val="nil"/>
            </w:tcBorders>
            <w:vAlign w:val="center"/>
          </w:tcPr>
          <w:p w14:paraId="595DB15F">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c>
          <w:tcPr>
            <w:tcW w:w="1198" w:type="dxa"/>
            <w:tcBorders>
              <w:tl2br w:val="nil"/>
              <w:tr2bl w:val="nil"/>
            </w:tcBorders>
            <w:vAlign w:val="center"/>
          </w:tcPr>
          <w:p w14:paraId="647F830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198.8523</w:t>
            </w:r>
          </w:p>
        </w:tc>
        <w:tc>
          <w:tcPr>
            <w:tcW w:w="1248" w:type="dxa"/>
            <w:tcBorders>
              <w:tl2br w:val="nil"/>
              <w:tr2bl w:val="nil"/>
            </w:tcBorders>
            <w:vAlign w:val="center"/>
          </w:tcPr>
          <w:p w14:paraId="49FD0B0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0.005029</w:t>
            </w:r>
          </w:p>
        </w:tc>
        <w:tc>
          <w:tcPr>
            <w:tcW w:w="1355" w:type="dxa"/>
            <w:tcBorders>
              <w:tl2br w:val="nil"/>
              <w:tr2bl w:val="nil"/>
            </w:tcBorders>
            <w:vAlign w:val="center"/>
          </w:tcPr>
          <w:p w14:paraId="1F8EEA4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0.4121</w:t>
            </w:r>
          </w:p>
        </w:tc>
        <w:tc>
          <w:tcPr>
            <w:tcW w:w="1408" w:type="dxa"/>
            <w:tcBorders>
              <w:tl2br w:val="nil"/>
              <w:tr2bl w:val="nil"/>
            </w:tcBorders>
            <w:vAlign w:val="center"/>
          </w:tcPr>
          <w:p w14:paraId="01C925D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0.002072</w:t>
            </w:r>
          </w:p>
        </w:tc>
      </w:tr>
      <w:tr w14:paraId="49DBB0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79141344">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72F4A92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3</w:t>
            </w:r>
          </w:p>
        </w:tc>
        <w:tc>
          <w:tcPr>
            <w:tcW w:w="2391" w:type="dxa"/>
            <w:tcBorders>
              <w:tl2br w:val="nil"/>
              <w:tr2bl w:val="nil"/>
            </w:tcBorders>
            <w:vAlign w:val="center"/>
          </w:tcPr>
          <w:p w14:paraId="08DE73F5">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qwen25_7b_hf_4bit</w:t>
            </w:r>
          </w:p>
        </w:tc>
        <w:tc>
          <w:tcPr>
            <w:tcW w:w="1198" w:type="dxa"/>
            <w:tcBorders>
              <w:tl2br w:val="nil"/>
              <w:tr2bl w:val="nil"/>
            </w:tcBorders>
            <w:vAlign w:val="center"/>
          </w:tcPr>
          <w:p w14:paraId="0E8D8EB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189.6479</w:t>
            </w:r>
          </w:p>
        </w:tc>
        <w:tc>
          <w:tcPr>
            <w:tcW w:w="1248" w:type="dxa"/>
            <w:tcBorders>
              <w:tl2br w:val="nil"/>
              <w:tr2bl w:val="nil"/>
            </w:tcBorders>
            <w:vAlign w:val="center"/>
          </w:tcPr>
          <w:p w14:paraId="482B478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0.005273</w:t>
            </w:r>
          </w:p>
        </w:tc>
        <w:tc>
          <w:tcPr>
            <w:tcW w:w="1355" w:type="dxa"/>
            <w:tcBorders>
              <w:tl2br w:val="nil"/>
              <w:tr2bl w:val="nil"/>
            </w:tcBorders>
            <w:vAlign w:val="center"/>
          </w:tcPr>
          <w:p w14:paraId="75DE003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0.9106</w:t>
            </w:r>
          </w:p>
        </w:tc>
        <w:tc>
          <w:tcPr>
            <w:tcW w:w="1408" w:type="dxa"/>
            <w:tcBorders>
              <w:tl2br w:val="nil"/>
              <w:tr2bl w:val="nil"/>
            </w:tcBorders>
            <w:vAlign w:val="center"/>
          </w:tcPr>
          <w:p w14:paraId="74250D9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0.004801</w:t>
            </w:r>
          </w:p>
        </w:tc>
      </w:tr>
      <w:tr w14:paraId="7C4387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7FFAE408">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60CB6CC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4</w:t>
            </w:r>
          </w:p>
        </w:tc>
        <w:tc>
          <w:tcPr>
            <w:tcW w:w="2391" w:type="dxa"/>
            <w:tcBorders>
              <w:tl2br w:val="nil"/>
              <w:tr2bl w:val="nil"/>
            </w:tcBorders>
            <w:vAlign w:val="center"/>
          </w:tcPr>
          <w:p w14:paraId="723B6CED">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qwen25_3b_hf_8bit</w:t>
            </w:r>
          </w:p>
        </w:tc>
        <w:tc>
          <w:tcPr>
            <w:tcW w:w="1198" w:type="dxa"/>
            <w:tcBorders>
              <w:tl2br w:val="nil"/>
              <w:tr2bl w:val="nil"/>
            </w:tcBorders>
            <w:vAlign w:val="center"/>
          </w:tcPr>
          <w:p w14:paraId="4A391D7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83.7444</w:t>
            </w:r>
          </w:p>
        </w:tc>
        <w:tc>
          <w:tcPr>
            <w:tcW w:w="1248" w:type="dxa"/>
            <w:tcBorders>
              <w:tl2br w:val="nil"/>
              <w:tr2bl w:val="nil"/>
            </w:tcBorders>
            <w:vAlign w:val="center"/>
          </w:tcPr>
          <w:p w14:paraId="1B2A68A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0.011941</w:t>
            </w:r>
          </w:p>
        </w:tc>
        <w:tc>
          <w:tcPr>
            <w:tcW w:w="1355" w:type="dxa"/>
            <w:tcBorders>
              <w:tl2br w:val="nil"/>
              <w:tr2bl w:val="nil"/>
            </w:tcBorders>
            <w:vAlign w:val="center"/>
          </w:tcPr>
          <w:p w14:paraId="4D20ABE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0.9658</w:t>
            </w:r>
          </w:p>
        </w:tc>
        <w:tc>
          <w:tcPr>
            <w:tcW w:w="1408" w:type="dxa"/>
            <w:tcBorders>
              <w:tl2br w:val="nil"/>
              <w:tr2bl w:val="nil"/>
            </w:tcBorders>
            <w:vAlign w:val="center"/>
          </w:tcPr>
          <w:p w14:paraId="1A0F085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0.011533</w:t>
            </w:r>
          </w:p>
        </w:tc>
      </w:tr>
      <w:tr w14:paraId="5735F9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center"/>
          </w:tcPr>
          <w:p w14:paraId="17F7D3BF">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center"/>
          </w:tcPr>
          <w:p w14:paraId="22C1D93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5</w:t>
            </w:r>
          </w:p>
        </w:tc>
        <w:tc>
          <w:tcPr>
            <w:tcW w:w="2391" w:type="dxa"/>
            <w:tcBorders>
              <w:tl2br w:val="nil"/>
              <w:tr2bl w:val="nil"/>
            </w:tcBorders>
            <w:vAlign w:val="center"/>
          </w:tcPr>
          <w:p w14:paraId="19C352FA">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2"/>
                <w:szCs w:val="22"/>
              </w:rPr>
              <w:t>qwen_4b_ol_q4km</w:t>
            </w:r>
          </w:p>
        </w:tc>
        <w:tc>
          <w:tcPr>
            <w:tcW w:w="1198" w:type="dxa"/>
            <w:tcBorders>
              <w:tl2br w:val="nil"/>
              <w:tr2bl w:val="nil"/>
            </w:tcBorders>
            <w:vAlign w:val="center"/>
          </w:tcPr>
          <w:p w14:paraId="2EF4997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61.4538</w:t>
            </w:r>
          </w:p>
        </w:tc>
        <w:tc>
          <w:tcPr>
            <w:tcW w:w="1248" w:type="dxa"/>
            <w:tcBorders>
              <w:tl2br w:val="nil"/>
              <w:tr2bl w:val="nil"/>
            </w:tcBorders>
            <w:vAlign w:val="center"/>
          </w:tcPr>
          <w:p w14:paraId="2A05F0F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0.016272</w:t>
            </w:r>
          </w:p>
        </w:tc>
        <w:tc>
          <w:tcPr>
            <w:tcW w:w="1355" w:type="dxa"/>
            <w:tcBorders>
              <w:tl2br w:val="nil"/>
              <w:tr2bl w:val="nil"/>
            </w:tcBorders>
            <w:vAlign w:val="center"/>
          </w:tcPr>
          <w:p w14:paraId="775A9A5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0.0879</w:t>
            </w:r>
          </w:p>
        </w:tc>
        <w:tc>
          <w:tcPr>
            <w:tcW w:w="1408" w:type="dxa"/>
            <w:tcBorders>
              <w:tl2br w:val="nil"/>
              <w:tr2bl w:val="nil"/>
            </w:tcBorders>
            <w:vAlign w:val="center"/>
          </w:tcPr>
          <w:p w14:paraId="5FD9F23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0.001431</w:t>
            </w:r>
          </w:p>
        </w:tc>
      </w:tr>
    </w:tbl>
    <w:p w14:paraId="718683D1">
      <w:pPr>
        <w:spacing w:after="220"/>
        <w:rPr>
          <w:rFonts w:ascii="Times New Roman" w:hAnsi="Times New Roman" w:eastAsia="宋体" w:cs="Times New Roman"/>
          <w:b/>
          <w:sz w:val="24"/>
          <w:szCs w:val="24"/>
        </w:rPr>
      </w:pPr>
    </w:p>
    <w:p w14:paraId="69342E99">
      <w:pPr>
        <w:spacing w:after="220"/>
        <w:rPr>
          <w:rFonts w:ascii="Times New Roman" w:hAnsi="Times New Roman" w:eastAsia="宋体" w:cs="Times New Roman"/>
          <w:sz w:val="24"/>
          <w:szCs w:val="24"/>
        </w:rPr>
      </w:pPr>
      <w:r>
        <w:rPr>
          <w:rFonts w:ascii="Times New Roman" w:hAnsi="Times New Roman" w:eastAsia="宋体" w:cs="Times New Roman"/>
          <w:sz w:val="24"/>
          <w:szCs w:val="24"/>
        </w:rPr>
        <w:t>从表5‑1可以看出：</w:t>
      </w:r>
    </w:p>
    <w:p w14:paraId="4F42E703">
      <w:pPr>
        <w:numPr>
          <w:ilvl w:val="0"/>
          <w:numId w:val="3"/>
        </w:numPr>
        <w:rPr>
          <w:rFonts w:ascii="Times New Roman" w:hAnsi="Times New Roman" w:eastAsia="宋体" w:cs="Times New Roman"/>
          <w:sz w:val="24"/>
          <w:szCs w:val="24"/>
        </w:rPr>
      </w:pPr>
      <w:r>
        <w:rPr>
          <w:rFonts w:ascii="Times New Roman" w:hAnsi="Times New Roman" w:eastAsia="宋体" w:cs="Times New Roman"/>
          <w:b/>
          <w:sz w:val="24"/>
          <w:szCs w:val="24"/>
        </w:rPr>
        <w:t>均衡配置</w:t>
      </w:r>
      <w:r>
        <w:rPr>
          <w:rFonts w:ascii="Times New Roman" w:hAnsi="Times New Roman" w:eastAsia="宋体" w:cs="Times New Roman"/>
          <w:sz w:val="24"/>
          <w:szCs w:val="24"/>
        </w:rPr>
        <w:t>下，</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同时拥有最高的QPC和最低的CBR，表明其在综合任务中具备最佳性价比。其成本仅$0.00207/token，质量得分0.7255，表现均衡。</w:t>
      </w:r>
    </w:p>
    <w:p w14:paraId="0F5D1ED2">
      <w:pPr>
        <w:numPr>
          <w:ilvl w:val="0"/>
          <w:numId w:val="3"/>
        </w:numPr>
        <w:rPr>
          <w:rFonts w:ascii="Times New Roman" w:hAnsi="Times New Roman" w:eastAsia="宋体" w:cs="Times New Roman"/>
          <w:sz w:val="24"/>
          <w:szCs w:val="24"/>
        </w:rPr>
      </w:pPr>
      <w:r>
        <w:rPr>
          <w:rFonts w:ascii="Times New Roman" w:hAnsi="Times New Roman" w:eastAsia="宋体" w:cs="Times New Roman"/>
          <w:b/>
          <w:sz w:val="24"/>
          <w:szCs w:val="24"/>
        </w:rPr>
        <w:t>客观任务为主</w:t>
      </w:r>
      <w:r>
        <w:rPr>
          <w:rFonts w:ascii="Times New Roman" w:hAnsi="Times New Roman" w:eastAsia="宋体" w:cs="Times New Roman"/>
          <w:sz w:val="24"/>
          <w:szCs w:val="24"/>
        </w:rPr>
        <w:t>时，</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 的QPC高达556.3，远超其他模型，且CBR仅0.0018，成为客观任务的性价比之王。这得益于其在客观任务上质量得分最高（1.1704）且成本较低。</w:t>
      </w:r>
    </w:p>
    <w:p w14:paraId="0AB8CAB3">
      <w:pPr>
        <w:numPr>
          <w:ilvl w:val="0"/>
          <w:numId w:val="3"/>
        </w:numPr>
        <w:rPr>
          <w:rFonts w:ascii="Times New Roman" w:hAnsi="Times New Roman" w:eastAsia="宋体" w:cs="Times New Roman"/>
          <w:sz w:val="24"/>
          <w:szCs w:val="24"/>
        </w:rPr>
      </w:pPr>
      <w:r>
        <w:rPr>
          <w:rFonts w:ascii="Times New Roman" w:hAnsi="Times New Roman" w:eastAsia="宋体" w:cs="Times New Roman"/>
          <w:b/>
          <w:sz w:val="24"/>
          <w:szCs w:val="24"/>
        </w:rPr>
        <w:t>主观任务为主</w:t>
      </w:r>
      <w:r>
        <w:rPr>
          <w:rFonts w:ascii="Times New Roman" w:hAnsi="Times New Roman" w:eastAsia="宋体" w:cs="Times New Roman"/>
          <w:sz w:val="24"/>
          <w:szCs w:val="24"/>
        </w:rPr>
        <w:t>时，</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以281.7的QPC居首，同时质量得分1.3642为所有模型最高，尽管成本相对较高（$0.00484），但在主观任务中仍是最优选择。</w:t>
      </w:r>
    </w:p>
    <w:p w14:paraId="25F6F6AE">
      <w:pPr>
        <w:spacing w:after="220"/>
        <w:rPr>
          <w:rFonts w:ascii="Times New Roman" w:hAnsi="Times New Roman" w:eastAsia="宋体" w:cs="Times New Roman"/>
          <w:sz w:val="24"/>
          <w:szCs w:val="24"/>
        </w:rPr>
      </w:pPr>
      <w:r>
        <w:rPr>
          <w:rFonts w:ascii="Times New Roman" w:hAnsi="Times New Roman" w:eastAsia="宋体" w:cs="Times New Roman"/>
          <w:sz w:val="24"/>
          <w:szCs w:val="24"/>
        </w:rPr>
        <w:t>值得注意的是，</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在所有三种任务类型中均位列QPC前二，表现出跨任务稳定性。而 </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在主观任务中优势明显，在客观任务中也排名第三，适合混合任务场景。</w:t>
      </w:r>
    </w:p>
    <w:p w14:paraId="62327E50">
      <w:pPr>
        <w:pStyle w:val="3"/>
        <w:bidi w:val="0"/>
      </w:pPr>
      <w:bookmarkStart w:id="16" w:name="bm_5_3_任务难度加权的成本效益分析"/>
      <w:r>
        <w:t>5.3 任务难度加权的成本效益分析</w:t>
      </w:r>
      <w:bookmarkEnd w:id="16"/>
    </w:p>
    <w:p w14:paraId="6A905F8A">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实际应用中，工作负载往往包含多种任务类型，且各类任务的占比不同。为评估模型在混合任务下的综合成本效益，我们引入任务难度加权因子，对同一模型在不同任务上的质量得分进行加权平均，得到综合质量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weighted</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，再计算加权QPC：</w:t>
      </w:r>
    </w:p>
    <w:p w14:paraId="6E6F03B0">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weighted</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nary>
            <m:naryPr>
              <m:chr m:val="∑"/>
              <m:grow m:val="1"/>
              <m:limLoc m:val="undOvr"/>
              <m:supHide m:val="1"/>
              <m:ctrlPr>
                <w:rPr>
                  <w:rFonts w:ascii="Cambria Math" w:hAnsi="Cambria Math" w:eastAsia="宋体" w:cs="Times New Roman"/>
                  <w:sz w:val="24"/>
                  <w:szCs w:val="24"/>
                </w:rPr>
              </m:ctrlPr>
            </m:naryPr>
            <m:sub>
              <m:r>
                <m:rPr/>
                <w:rPr>
                  <w:rFonts w:ascii="Times New Roman" w:hAnsi="Times New Roman" w:eastAsia="宋体" w:cs="Times New Roman"/>
                  <w:sz w:val="24"/>
                  <w:szCs w:val="24"/>
                </w:rPr>
                <m:t>t</m:t>
              </m:r>
              <m:r>
                <m:rPr>
                  <m:sty m:val="p"/>
                </m:rPr>
                <w:rPr>
                  <w:rFonts w:ascii="Times New Roman" w:hAnsi="Times New Roman" w:eastAsia="宋体" w:cs="Times New Roman"/>
                  <w:sz w:val="24"/>
                  <w:szCs w:val="24"/>
                </w:rPr>
                <m:t>∈{</m:t>
              </m:r>
              <m:r>
                <m:rPr>
                  <m:nor/>
                  <m:sty m:val="p"/>
                </m:rPr>
                <w:rPr>
                  <w:rFonts w:ascii="Times New Roman" w:hAnsi="Times New Roman" w:eastAsia="宋体" w:cs="Times New Roman"/>
                  <w:sz w:val="24"/>
                  <w:szCs w:val="24"/>
                </w:rPr>
                <m:t>均衡, 客观, 主观</m:t>
              </m:r>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m:oMathPara>
    </w:p>
    <w:p w14:paraId="64A1EEEB">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m:nor/>
                  <m:sty m:val="p"/>
                </m:rPr>
                <w:rPr>
                  <w:rFonts w:ascii="Times New Roman" w:hAnsi="Times New Roman" w:eastAsia="宋体" w:cs="Times New Roman"/>
                  <w:b w:val="0"/>
                  <w:i w:val="0"/>
                  <w:sz w:val="24"/>
                  <w:szCs w:val="24"/>
                </w:rPr>
                <m:t>QPC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weighted</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weighted</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r>
                <m:rPr/>
                <w:rPr>
                  <w:rFonts w:ascii="Times New Roman" w:hAnsi="Times New Roman" w:eastAsia="宋体" w:cs="Times New Roman"/>
                  <w:sz w:val="24"/>
                  <w:szCs w:val="24"/>
                </w:rPr>
                <m:t>C</m:t>
              </m:r>
              <m:ctrlPr>
                <w:rPr>
                  <w:rFonts w:ascii="Cambria Math" w:hAnsi="Cambria Math" w:eastAsia="宋体" w:cs="Times New Roman"/>
                  <w:sz w:val="24"/>
                  <w:szCs w:val="24"/>
                </w:rPr>
              </m:ctrlPr>
            </m:den>
          </m:f>
        </m:oMath>
      </m:oMathPara>
    </w:p>
    <w:p w14:paraId="7C9CDF22">
      <w:pPr>
        <w:spacing w:after="220"/>
        <w:rPr>
          <w:rFonts w:ascii="Times New Roman" w:hAnsi="Times New Roman" w:eastAsia="宋体" w:cs="Times New Roman"/>
          <w:sz w:val="24"/>
          <w:szCs w:val="24"/>
        </w:rPr>
      </w:pPr>
      <w:r>
        <w:rPr>
          <w:rFonts w:ascii="Times New Roman" w:hAnsi="Times New Roman" w:eastAsia="宋体" w:cs="Times New Roman"/>
          <w:sz w:val="24"/>
          <w:szCs w:val="24"/>
        </w:rPr>
        <w:t>不失一般性，假设三种任务等权重（</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=1/3</m:t>
        </m:r>
      </m:oMath>
      <w:r>
        <w:rPr>
          <w:rFonts w:ascii="Times New Roman" w:hAnsi="Times New Roman" w:eastAsia="宋体" w:cs="Times New Roman"/>
          <w:sz w:val="24"/>
          <w:szCs w:val="24"/>
        </w:rPr>
        <w:t>），或可根据实际场景调整。表5‑2给出了等权重下各模型的综合质量与加权QPC排序。</w:t>
      </w:r>
    </w:p>
    <w:p w14:paraId="6B9887F5">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表5‑2 等权重任务加权成本效益排序（前10名）</w:t>
      </w:r>
    </w:p>
    <w:tbl>
      <w:tblPr>
        <w:tblStyle w:val="11"/>
        <w:tblW w:w="10637" w:type="dxa"/>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778"/>
        <w:gridCol w:w="2391"/>
        <w:gridCol w:w="1223"/>
        <w:gridCol w:w="1215"/>
        <w:gridCol w:w="1277"/>
        <w:gridCol w:w="1256"/>
        <w:gridCol w:w="1174"/>
        <w:gridCol w:w="1323"/>
      </w:tblGrid>
      <w:tr w14:paraId="275A0E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90" w:hRule="atLeast"/>
          <w:tblCellSpacing w:w="0" w:type="dxa"/>
          <w:jc w:val="center"/>
        </w:trPr>
        <w:tc>
          <w:tcPr>
            <w:tcW w:w="778" w:type="dxa"/>
            <w:tcBorders>
              <w:bottom w:val="single" w:color="auto" w:sz="8" w:space="0"/>
            </w:tcBorders>
            <w:vAlign w:val="center"/>
          </w:tcPr>
          <w:p w14:paraId="1A20F9A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排名</w:t>
            </w:r>
          </w:p>
        </w:tc>
        <w:tc>
          <w:tcPr>
            <w:tcW w:w="2391" w:type="dxa"/>
            <w:tcBorders>
              <w:bottom w:val="single" w:color="auto" w:sz="8" w:space="0"/>
            </w:tcBorders>
            <w:vAlign w:val="center"/>
          </w:tcPr>
          <w:p w14:paraId="21D620C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模型</w:t>
            </w:r>
          </w:p>
        </w:tc>
        <w:tc>
          <w:tcPr>
            <w:tcW w:w="1223" w:type="dxa"/>
            <w:tcBorders>
              <w:bottom w:val="single" w:color="auto" w:sz="8" w:space="0"/>
            </w:tcBorders>
            <w:vAlign w:val="center"/>
          </w:tcPr>
          <w:p w14:paraId="24091DE9">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均衡质量</w:t>
            </w:r>
          </w:p>
        </w:tc>
        <w:tc>
          <w:tcPr>
            <w:tcW w:w="1215" w:type="dxa"/>
            <w:tcBorders>
              <w:bottom w:val="single" w:color="auto" w:sz="8" w:space="0"/>
            </w:tcBorders>
            <w:vAlign w:val="center"/>
          </w:tcPr>
          <w:p w14:paraId="58F4922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客观质量</w:t>
            </w:r>
          </w:p>
        </w:tc>
        <w:tc>
          <w:tcPr>
            <w:tcW w:w="1277" w:type="dxa"/>
            <w:tcBorders>
              <w:bottom w:val="single" w:color="auto" w:sz="8" w:space="0"/>
            </w:tcBorders>
            <w:vAlign w:val="center"/>
          </w:tcPr>
          <w:p w14:paraId="0078D56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主观质量</w:t>
            </w:r>
          </w:p>
        </w:tc>
        <w:tc>
          <w:tcPr>
            <w:tcW w:w="1256" w:type="dxa"/>
            <w:tcBorders>
              <w:bottom w:val="single" w:color="auto" w:sz="8" w:space="0"/>
            </w:tcBorders>
            <w:vAlign w:val="center"/>
          </w:tcPr>
          <w:p w14:paraId="395040E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综合质量</w:t>
            </w:r>
          </w:p>
        </w:tc>
        <w:tc>
          <w:tcPr>
            <w:tcW w:w="1174" w:type="dxa"/>
            <w:tcBorders>
              <w:bottom w:val="single" w:color="auto" w:sz="8" w:space="0"/>
            </w:tcBorders>
            <w:vAlign w:val="center"/>
          </w:tcPr>
          <w:p w14:paraId="4560C58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成本</w:t>
            </w:r>
          </w:p>
        </w:tc>
        <w:tc>
          <w:tcPr>
            <w:tcW w:w="1323" w:type="dxa"/>
            <w:tcBorders>
              <w:bottom w:val="single" w:color="auto" w:sz="8" w:space="0"/>
            </w:tcBorders>
            <w:vAlign w:val="center"/>
          </w:tcPr>
          <w:p w14:paraId="7F2D9E6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加权QPC</w:t>
            </w:r>
          </w:p>
        </w:tc>
      </w:tr>
      <w:tr w14:paraId="008A1A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center"/>
          </w:tcPr>
          <w:p w14:paraId="3EE63AA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w:t>
            </w:r>
          </w:p>
        </w:tc>
        <w:tc>
          <w:tcPr>
            <w:tcW w:w="2391" w:type="dxa"/>
            <w:tcBorders>
              <w:tl2br w:val="nil"/>
              <w:tr2bl w:val="nil"/>
            </w:tcBorders>
            <w:vAlign w:val="center"/>
          </w:tcPr>
          <w:p w14:paraId="17405607">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deepseek_8b_ol_q4km</w:t>
            </w:r>
          </w:p>
        </w:tc>
        <w:tc>
          <w:tcPr>
            <w:tcW w:w="1223" w:type="dxa"/>
            <w:tcBorders>
              <w:tl2br w:val="nil"/>
              <w:tr2bl w:val="nil"/>
            </w:tcBorders>
            <w:vAlign w:val="center"/>
          </w:tcPr>
          <w:p w14:paraId="371D126E">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0.7255</w:t>
            </w:r>
          </w:p>
        </w:tc>
        <w:tc>
          <w:tcPr>
            <w:tcW w:w="1215" w:type="dxa"/>
            <w:tcBorders>
              <w:tl2br w:val="nil"/>
              <w:tr2bl w:val="nil"/>
            </w:tcBorders>
            <w:vAlign w:val="center"/>
          </w:tcPr>
          <w:p w14:paraId="17F7DE7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0.6108</w:t>
            </w:r>
          </w:p>
        </w:tc>
        <w:tc>
          <w:tcPr>
            <w:tcW w:w="1277" w:type="dxa"/>
            <w:tcBorders>
              <w:tl2br w:val="nil"/>
              <w:tr2bl w:val="nil"/>
            </w:tcBorders>
            <w:vAlign w:val="center"/>
          </w:tcPr>
          <w:p w14:paraId="5EE3BB5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0.4121</w:t>
            </w:r>
          </w:p>
        </w:tc>
        <w:tc>
          <w:tcPr>
            <w:tcW w:w="1256" w:type="dxa"/>
            <w:tcBorders>
              <w:tl2br w:val="nil"/>
              <w:tr2bl w:val="nil"/>
            </w:tcBorders>
            <w:vAlign w:val="center"/>
          </w:tcPr>
          <w:p w14:paraId="2844B03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0.5828</w:t>
            </w:r>
          </w:p>
        </w:tc>
        <w:tc>
          <w:tcPr>
            <w:tcW w:w="1174" w:type="dxa"/>
            <w:tcBorders>
              <w:tl2br w:val="nil"/>
              <w:tr2bl w:val="nil"/>
            </w:tcBorders>
            <w:vAlign w:val="center"/>
          </w:tcPr>
          <w:p w14:paraId="45B12B6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0.002072</w:t>
            </w:r>
          </w:p>
        </w:tc>
        <w:tc>
          <w:tcPr>
            <w:tcW w:w="1323" w:type="dxa"/>
            <w:tcBorders>
              <w:tl2br w:val="nil"/>
              <w:tr2bl w:val="nil"/>
            </w:tcBorders>
            <w:vAlign w:val="center"/>
          </w:tcPr>
          <w:p w14:paraId="61249E1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b/>
                <w:sz w:val="21"/>
                <w:szCs w:val="21"/>
              </w:rPr>
              <w:t>281.34</w:t>
            </w:r>
          </w:p>
        </w:tc>
      </w:tr>
      <w:tr w14:paraId="1404EA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center"/>
          </w:tcPr>
          <w:p w14:paraId="5A8D2BE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2</w:t>
            </w:r>
          </w:p>
        </w:tc>
        <w:tc>
          <w:tcPr>
            <w:tcW w:w="2391" w:type="dxa"/>
            <w:tcBorders>
              <w:tl2br w:val="nil"/>
              <w:tr2bl w:val="nil"/>
            </w:tcBorders>
            <w:vAlign w:val="center"/>
          </w:tcPr>
          <w:p w14:paraId="3257C598">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qwen25_3b_hf_4bit</w:t>
            </w:r>
          </w:p>
        </w:tc>
        <w:tc>
          <w:tcPr>
            <w:tcW w:w="1223" w:type="dxa"/>
            <w:tcBorders>
              <w:tl2br w:val="nil"/>
              <w:tr2bl w:val="nil"/>
            </w:tcBorders>
            <w:vAlign w:val="center"/>
          </w:tcPr>
          <w:p w14:paraId="4232D92C">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1.0215</w:t>
            </w:r>
          </w:p>
        </w:tc>
        <w:tc>
          <w:tcPr>
            <w:tcW w:w="1215" w:type="dxa"/>
            <w:tcBorders>
              <w:tl2br w:val="nil"/>
              <w:tr2bl w:val="nil"/>
            </w:tcBorders>
            <w:vAlign w:val="center"/>
          </w:tcPr>
          <w:p w14:paraId="7EBDE25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0.9338</w:t>
            </w:r>
          </w:p>
        </w:tc>
        <w:tc>
          <w:tcPr>
            <w:tcW w:w="1277" w:type="dxa"/>
            <w:tcBorders>
              <w:tl2br w:val="nil"/>
              <w:tr2bl w:val="nil"/>
            </w:tcBorders>
            <w:vAlign w:val="center"/>
          </w:tcPr>
          <w:p w14:paraId="0B650CD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1.3642</w:t>
            </w:r>
          </w:p>
        </w:tc>
        <w:tc>
          <w:tcPr>
            <w:tcW w:w="1256" w:type="dxa"/>
            <w:tcBorders>
              <w:tl2br w:val="nil"/>
              <w:tr2bl w:val="nil"/>
            </w:tcBorders>
            <w:vAlign w:val="center"/>
          </w:tcPr>
          <w:p w14:paraId="738B869F">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1.1065</w:t>
            </w:r>
          </w:p>
        </w:tc>
        <w:tc>
          <w:tcPr>
            <w:tcW w:w="1174" w:type="dxa"/>
            <w:tcBorders>
              <w:tl2br w:val="nil"/>
              <w:tr2bl w:val="nil"/>
            </w:tcBorders>
            <w:vAlign w:val="center"/>
          </w:tcPr>
          <w:p w14:paraId="75D67EC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0.004843</w:t>
            </w:r>
          </w:p>
        </w:tc>
        <w:tc>
          <w:tcPr>
            <w:tcW w:w="1323" w:type="dxa"/>
            <w:tcBorders>
              <w:tl2br w:val="nil"/>
              <w:tr2bl w:val="nil"/>
            </w:tcBorders>
            <w:vAlign w:val="center"/>
          </w:tcPr>
          <w:p w14:paraId="3B1207B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b/>
                <w:sz w:val="21"/>
                <w:szCs w:val="21"/>
              </w:rPr>
              <w:t>228.44</w:t>
            </w:r>
          </w:p>
        </w:tc>
      </w:tr>
      <w:tr w14:paraId="2EA0F6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center"/>
          </w:tcPr>
          <w:p w14:paraId="7CDE712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3</w:t>
            </w:r>
          </w:p>
        </w:tc>
        <w:tc>
          <w:tcPr>
            <w:tcW w:w="2391" w:type="dxa"/>
            <w:tcBorders>
              <w:tl2br w:val="nil"/>
              <w:tr2bl w:val="nil"/>
            </w:tcBorders>
            <w:vAlign w:val="center"/>
          </w:tcPr>
          <w:p w14:paraId="055186C2">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qwen25_7b_hf_4bit</w:t>
            </w:r>
          </w:p>
        </w:tc>
        <w:tc>
          <w:tcPr>
            <w:tcW w:w="1223" w:type="dxa"/>
            <w:tcBorders>
              <w:tl2br w:val="nil"/>
              <w:tr2bl w:val="nil"/>
            </w:tcBorders>
            <w:vAlign w:val="center"/>
          </w:tcPr>
          <w:p w14:paraId="49C87E12">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0.6893</w:t>
            </w:r>
          </w:p>
        </w:tc>
        <w:tc>
          <w:tcPr>
            <w:tcW w:w="1215" w:type="dxa"/>
            <w:tcBorders>
              <w:tl2br w:val="nil"/>
              <w:tr2bl w:val="nil"/>
            </w:tcBorders>
            <w:vAlign w:val="center"/>
          </w:tcPr>
          <w:p w14:paraId="5786B87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0.8207</w:t>
            </w:r>
          </w:p>
        </w:tc>
        <w:tc>
          <w:tcPr>
            <w:tcW w:w="1277" w:type="dxa"/>
            <w:tcBorders>
              <w:tl2br w:val="nil"/>
              <w:tr2bl w:val="nil"/>
            </w:tcBorders>
            <w:vAlign w:val="center"/>
          </w:tcPr>
          <w:p w14:paraId="3B354B21">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0.9106</w:t>
            </w:r>
          </w:p>
        </w:tc>
        <w:tc>
          <w:tcPr>
            <w:tcW w:w="1256" w:type="dxa"/>
            <w:tcBorders>
              <w:tl2br w:val="nil"/>
              <w:tr2bl w:val="nil"/>
            </w:tcBorders>
            <w:vAlign w:val="center"/>
          </w:tcPr>
          <w:p w14:paraId="10B58A0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0.8069</w:t>
            </w:r>
          </w:p>
        </w:tc>
        <w:tc>
          <w:tcPr>
            <w:tcW w:w="1174" w:type="dxa"/>
            <w:tcBorders>
              <w:tl2br w:val="nil"/>
              <w:tr2bl w:val="nil"/>
            </w:tcBorders>
            <w:vAlign w:val="center"/>
          </w:tcPr>
          <w:p w14:paraId="71657FC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0.004801</w:t>
            </w:r>
          </w:p>
        </w:tc>
        <w:tc>
          <w:tcPr>
            <w:tcW w:w="1323" w:type="dxa"/>
            <w:tcBorders>
              <w:tl2br w:val="nil"/>
              <w:tr2bl w:val="nil"/>
            </w:tcBorders>
            <w:vAlign w:val="center"/>
          </w:tcPr>
          <w:p w14:paraId="6B2340FC">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168.10</w:t>
            </w:r>
          </w:p>
        </w:tc>
      </w:tr>
      <w:tr w14:paraId="65DA2D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center"/>
          </w:tcPr>
          <w:p w14:paraId="7F6303A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4</w:t>
            </w:r>
          </w:p>
        </w:tc>
        <w:tc>
          <w:tcPr>
            <w:tcW w:w="2391" w:type="dxa"/>
            <w:tcBorders>
              <w:tl2br w:val="nil"/>
              <w:tr2bl w:val="nil"/>
            </w:tcBorders>
            <w:vAlign w:val="center"/>
          </w:tcPr>
          <w:p w14:paraId="3831025C">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gemma_4b_ol_q4km</w:t>
            </w:r>
          </w:p>
        </w:tc>
        <w:tc>
          <w:tcPr>
            <w:tcW w:w="1223" w:type="dxa"/>
            <w:tcBorders>
              <w:tl2br w:val="nil"/>
              <w:tr2bl w:val="nil"/>
            </w:tcBorders>
            <w:vAlign w:val="center"/>
          </w:tcPr>
          <w:p w14:paraId="744373F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0.3643</w:t>
            </w:r>
          </w:p>
        </w:tc>
        <w:tc>
          <w:tcPr>
            <w:tcW w:w="1215" w:type="dxa"/>
            <w:tcBorders>
              <w:tl2br w:val="nil"/>
              <w:tr2bl w:val="nil"/>
            </w:tcBorders>
            <w:vAlign w:val="center"/>
          </w:tcPr>
          <w:p w14:paraId="0FDE273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1.1704</w:t>
            </w:r>
          </w:p>
        </w:tc>
        <w:tc>
          <w:tcPr>
            <w:tcW w:w="1277" w:type="dxa"/>
            <w:tcBorders>
              <w:tl2br w:val="nil"/>
              <w:tr2bl w:val="nil"/>
            </w:tcBorders>
            <w:vAlign w:val="center"/>
          </w:tcPr>
          <w:p w14:paraId="3466237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-0.1413</w:t>
            </w:r>
          </w:p>
        </w:tc>
        <w:tc>
          <w:tcPr>
            <w:tcW w:w="1256" w:type="dxa"/>
            <w:tcBorders>
              <w:tl2br w:val="nil"/>
              <w:tr2bl w:val="nil"/>
            </w:tcBorders>
            <w:vAlign w:val="center"/>
          </w:tcPr>
          <w:p w14:paraId="7AC9F1A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0.4645</w:t>
            </w:r>
          </w:p>
        </w:tc>
        <w:tc>
          <w:tcPr>
            <w:tcW w:w="1174" w:type="dxa"/>
            <w:tcBorders>
              <w:tl2br w:val="nil"/>
              <w:tr2bl w:val="nil"/>
            </w:tcBorders>
            <w:vAlign w:val="center"/>
          </w:tcPr>
          <w:p w14:paraId="786B7F7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0.002104</w:t>
            </w:r>
          </w:p>
        </w:tc>
        <w:tc>
          <w:tcPr>
            <w:tcW w:w="1323" w:type="dxa"/>
            <w:tcBorders>
              <w:tl2br w:val="nil"/>
              <w:tr2bl w:val="nil"/>
            </w:tcBorders>
            <w:vAlign w:val="center"/>
          </w:tcPr>
          <w:p w14:paraId="4ACFA17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220.72</w:t>
            </w:r>
          </w:p>
        </w:tc>
      </w:tr>
      <w:tr w14:paraId="03ED87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center"/>
          </w:tcPr>
          <w:p w14:paraId="495914A2">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5</w:t>
            </w:r>
          </w:p>
        </w:tc>
        <w:tc>
          <w:tcPr>
            <w:tcW w:w="2391" w:type="dxa"/>
            <w:tcBorders>
              <w:tl2br w:val="nil"/>
              <w:tr2bl w:val="nil"/>
            </w:tcBorders>
            <w:vAlign w:val="center"/>
          </w:tcPr>
          <w:p w14:paraId="009C07B4">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qwen25_3b_hf_8bit</w:t>
            </w:r>
          </w:p>
        </w:tc>
        <w:tc>
          <w:tcPr>
            <w:tcW w:w="1223" w:type="dxa"/>
            <w:tcBorders>
              <w:tl2br w:val="nil"/>
              <w:tr2bl w:val="nil"/>
            </w:tcBorders>
            <w:vAlign w:val="center"/>
          </w:tcPr>
          <w:p w14:paraId="4BE4D7A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0.6066</w:t>
            </w:r>
          </w:p>
        </w:tc>
        <w:tc>
          <w:tcPr>
            <w:tcW w:w="1215" w:type="dxa"/>
            <w:tcBorders>
              <w:tl2br w:val="nil"/>
              <w:tr2bl w:val="nil"/>
            </w:tcBorders>
            <w:vAlign w:val="center"/>
          </w:tcPr>
          <w:p w14:paraId="1F5DF4E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0.4688</w:t>
            </w:r>
          </w:p>
        </w:tc>
        <w:tc>
          <w:tcPr>
            <w:tcW w:w="1277" w:type="dxa"/>
            <w:tcBorders>
              <w:tl2br w:val="nil"/>
              <w:tr2bl w:val="nil"/>
            </w:tcBorders>
            <w:vAlign w:val="center"/>
          </w:tcPr>
          <w:p w14:paraId="2216CF9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0.9658</w:t>
            </w:r>
          </w:p>
        </w:tc>
        <w:tc>
          <w:tcPr>
            <w:tcW w:w="1256" w:type="dxa"/>
            <w:tcBorders>
              <w:tl2br w:val="nil"/>
              <w:tr2bl w:val="nil"/>
            </w:tcBorders>
            <w:vAlign w:val="center"/>
          </w:tcPr>
          <w:p w14:paraId="768A61C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0.6804</w:t>
            </w:r>
          </w:p>
        </w:tc>
        <w:tc>
          <w:tcPr>
            <w:tcW w:w="1174" w:type="dxa"/>
            <w:tcBorders>
              <w:tl2br w:val="nil"/>
              <w:tr2bl w:val="nil"/>
            </w:tcBorders>
            <w:vAlign w:val="center"/>
          </w:tcPr>
          <w:p w14:paraId="1B4AA8A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0.011533</w:t>
            </w:r>
          </w:p>
        </w:tc>
        <w:tc>
          <w:tcPr>
            <w:tcW w:w="1323" w:type="dxa"/>
            <w:tcBorders>
              <w:tl2br w:val="nil"/>
              <w:tr2bl w:val="nil"/>
            </w:tcBorders>
            <w:vAlign w:val="center"/>
          </w:tcPr>
          <w:p w14:paraId="38A82A3F">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59.00</w:t>
            </w:r>
          </w:p>
        </w:tc>
      </w:tr>
      <w:tr w14:paraId="0EBC93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center"/>
          </w:tcPr>
          <w:p w14:paraId="5BB52A9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6</w:t>
            </w:r>
          </w:p>
        </w:tc>
        <w:tc>
          <w:tcPr>
            <w:tcW w:w="2391" w:type="dxa"/>
            <w:tcBorders>
              <w:tl2br w:val="nil"/>
              <w:tr2bl w:val="nil"/>
            </w:tcBorders>
            <w:vAlign w:val="center"/>
          </w:tcPr>
          <w:p w14:paraId="320CE1F8">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qwen_4b_ol_q4km</w:t>
            </w:r>
          </w:p>
        </w:tc>
        <w:tc>
          <w:tcPr>
            <w:tcW w:w="1223" w:type="dxa"/>
            <w:tcBorders>
              <w:tl2br w:val="nil"/>
              <w:tr2bl w:val="nil"/>
            </w:tcBorders>
            <w:vAlign w:val="center"/>
          </w:tcPr>
          <w:p w14:paraId="45C4C16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-0.0433</w:t>
            </w:r>
          </w:p>
        </w:tc>
        <w:tc>
          <w:tcPr>
            <w:tcW w:w="1215" w:type="dxa"/>
            <w:tcBorders>
              <w:tl2br w:val="nil"/>
              <w:tr2bl w:val="nil"/>
            </w:tcBorders>
            <w:vAlign w:val="center"/>
          </w:tcPr>
          <w:p w14:paraId="6A047A6C">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-0.4674</w:t>
            </w:r>
          </w:p>
        </w:tc>
        <w:tc>
          <w:tcPr>
            <w:tcW w:w="1277" w:type="dxa"/>
            <w:tcBorders>
              <w:tl2br w:val="nil"/>
              <w:tr2bl w:val="nil"/>
            </w:tcBorders>
            <w:vAlign w:val="center"/>
          </w:tcPr>
          <w:p w14:paraId="4AAF4B47">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0.0879</w:t>
            </w:r>
          </w:p>
        </w:tc>
        <w:tc>
          <w:tcPr>
            <w:tcW w:w="1256" w:type="dxa"/>
            <w:tcBorders>
              <w:tl2br w:val="nil"/>
              <w:tr2bl w:val="nil"/>
            </w:tcBorders>
            <w:vAlign w:val="center"/>
          </w:tcPr>
          <w:p w14:paraId="5027EC0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-0.1409</w:t>
            </w:r>
          </w:p>
        </w:tc>
        <w:tc>
          <w:tcPr>
            <w:tcW w:w="1174" w:type="dxa"/>
            <w:tcBorders>
              <w:tl2br w:val="nil"/>
              <w:tr2bl w:val="nil"/>
            </w:tcBorders>
            <w:vAlign w:val="center"/>
          </w:tcPr>
          <w:p w14:paraId="3B02912E">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0.001431</w:t>
            </w:r>
          </w:p>
        </w:tc>
        <w:tc>
          <w:tcPr>
            <w:tcW w:w="1323" w:type="dxa"/>
            <w:tcBorders>
              <w:tl2br w:val="nil"/>
              <w:tr2bl w:val="nil"/>
            </w:tcBorders>
            <w:vAlign w:val="center"/>
          </w:tcPr>
          <w:p w14:paraId="6BCA2357">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-98.50</w:t>
            </w:r>
          </w:p>
        </w:tc>
      </w:tr>
      <w:tr w14:paraId="758BA6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center"/>
          </w:tcPr>
          <w:p w14:paraId="7E42F22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7</w:t>
            </w:r>
          </w:p>
        </w:tc>
        <w:tc>
          <w:tcPr>
            <w:tcW w:w="2391" w:type="dxa"/>
            <w:tcBorders>
              <w:tl2br w:val="nil"/>
              <w:tr2bl w:val="nil"/>
            </w:tcBorders>
            <w:vAlign w:val="center"/>
          </w:tcPr>
          <w:p w14:paraId="2E2A370C">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phi3_4b_hf_4bit</w:t>
            </w:r>
          </w:p>
        </w:tc>
        <w:tc>
          <w:tcPr>
            <w:tcW w:w="1223" w:type="dxa"/>
            <w:tcBorders>
              <w:tl2br w:val="nil"/>
              <w:tr2bl w:val="nil"/>
            </w:tcBorders>
            <w:vAlign w:val="center"/>
          </w:tcPr>
          <w:p w14:paraId="3C183B1F">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-0.4392</w:t>
            </w:r>
          </w:p>
        </w:tc>
        <w:tc>
          <w:tcPr>
            <w:tcW w:w="1215" w:type="dxa"/>
            <w:tcBorders>
              <w:tl2br w:val="nil"/>
              <w:tr2bl w:val="nil"/>
            </w:tcBorders>
            <w:vAlign w:val="center"/>
          </w:tcPr>
          <w:p w14:paraId="26E7BC9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-0.5537</w:t>
            </w:r>
          </w:p>
        </w:tc>
        <w:tc>
          <w:tcPr>
            <w:tcW w:w="1277" w:type="dxa"/>
            <w:tcBorders>
              <w:tl2br w:val="nil"/>
              <w:tr2bl w:val="nil"/>
            </w:tcBorders>
            <w:vAlign w:val="center"/>
          </w:tcPr>
          <w:p w14:paraId="55E0FA5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-0.6149</w:t>
            </w:r>
          </w:p>
        </w:tc>
        <w:tc>
          <w:tcPr>
            <w:tcW w:w="1256" w:type="dxa"/>
            <w:tcBorders>
              <w:tl2br w:val="nil"/>
              <w:tr2bl w:val="nil"/>
            </w:tcBorders>
            <w:vAlign w:val="center"/>
          </w:tcPr>
          <w:p w14:paraId="3884D4B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-0.5359</w:t>
            </w:r>
          </w:p>
        </w:tc>
        <w:tc>
          <w:tcPr>
            <w:tcW w:w="1174" w:type="dxa"/>
            <w:tcBorders>
              <w:tl2br w:val="nil"/>
              <w:tr2bl w:val="nil"/>
            </w:tcBorders>
            <w:vAlign w:val="center"/>
          </w:tcPr>
          <w:p w14:paraId="5965395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0.004972</w:t>
            </w:r>
          </w:p>
        </w:tc>
        <w:tc>
          <w:tcPr>
            <w:tcW w:w="1323" w:type="dxa"/>
            <w:tcBorders>
              <w:tl2br w:val="nil"/>
              <w:tr2bl w:val="nil"/>
            </w:tcBorders>
            <w:vAlign w:val="center"/>
          </w:tcPr>
          <w:p w14:paraId="12F4811E">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-107.79</w:t>
            </w:r>
          </w:p>
        </w:tc>
      </w:tr>
      <w:tr w14:paraId="3E2F602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center"/>
          </w:tcPr>
          <w:p w14:paraId="65B8F52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2391" w:type="dxa"/>
            <w:tcBorders>
              <w:tl2br w:val="nil"/>
              <w:tr2bl w:val="nil"/>
            </w:tcBorders>
            <w:vAlign w:val="center"/>
          </w:tcPr>
          <w:p w14:paraId="1EAE988C">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qwen_8b_ol_q4km</w:t>
            </w:r>
          </w:p>
        </w:tc>
        <w:tc>
          <w:tcPr>
            <w:tcW w:w="1223" w:type="dxa"/>
            <w:tcBorders>
              <w:tl2br w:val="nil"/>
              <w:tr2bl w:val="nil"/>
            </w:tcBorders>
            <w:vAlign w:val="center"/>
          </w:tcPr>
          <w:p w14:paraId="26C68A42">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-0.2402</w:t>
            </w:r>
          </w:p>
        </w:tc>
        <w:tc>
          <w:tcPr>
            <w:tcW w:w="1215" w:type="dxa"/>
            <w:tcBorders>
              <w:tl2br w:val="nil"/>
              <w:tr2bl w:val="nil"/>
            </w:tcBorders>
            <w:vAlign w:val="center"/>
          </w:tcPr>
          <w:p w14:paraId="47DDF72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-0.0119</w:t>
            </w:r>
          </w:p>
        </w:tc>
        <w:tc>
          <w:tcPr>
            <w:tcW w:w="1277" w:type="dxa"/>
            <w:tcBorders>
              <w:tl2br w:val="nil"/>
              <w:tr2bl w:val="nil"/>
            </w:tcBorders>
            <w:vAlign w:val="center"/>
          </w:tcPr>
          <w:p w14:paraId="1B4FAD8C">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-0.7034</w:t>
            </w:r>
          </w:p>
        </w:tc>
        <w:tc>
          <w:tcPr>
            <w:tcW w:w="1256" w:type="dxa"/>
            <w:tcBorders>
              <w:tl2br w:val="nil"/>
              <w:tr2bl w:val="nil"/>
            </w:tcBorders>
            <w:vAlign w:val="center"/>
          </w:tcPr>
          <w:p w14:paraId="026B728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-0.3185</w:t>
            </w:r>
          </w:p>
        </w:tc>
        <w:tc>
          <w:tcPr>
            <w:tcW w:w="1174" w:type="dxa"/>
            <w:tcBorders>
              <w:tl2br w:val="nil"/>
              <w:tr2bl w:val="nil"/>
            </w:tcBorders>
            <w:vAlign w:val="center"/>
          </w:tcPr>
          <w:p w14:paraId="0AEF9882">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0.002071</w:t>
            </w:r>
          </w:p>
        </w:tc>
        <w:tc>
          <w:tcPr>
            <w:tcW w:w="1323" w:type="dxa"/>
            <w:tcBorders>
              <w:tl2br w:val="nil"/>
              <w:tr2bl w:val="nil"/>
            </w:tcBorders>
            <w:vAlign w:val="center"/>
          </w:tcPr>
          <w:p w14:paraId="469528A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-153.82</w:t>
            </w:r>
          </w:p>
        </w:tc>
      </w:tr>
      <w:tr w14:paraId="644058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center"/>
          </w:tcPr>
          <w:p w14:paraId="3DDCE30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9</w:t>
            </w:r>
          </w:p>
        </w:tc>
        <w:tc>
          <w:tcPr>
            <w:tcW w:w="2391" w:type="dxa"/>
            <w:tcBorders>
              <w:tl2br w:val="nil"/>
              <w:tr2bl w:val="nil"/>
            </w:tcBorders>
            <w:vAlign w:val="center"/>
          </w:tcPr>
          <w:p w14:paraId="7ADD65F8">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phi3_4b_hf_8bit</w:t>
            </w:r>
          </w:p>
        </w:tc>
        <w:tc>
          <w:tcPr>
            <w:tcW w:w="1223" w:type="dxa"/>
            <w:tcBorders>
              <w:tl2br w:val="nil"/>
              <w:tr2bl w:val="nil"/>
            </w:tcBorders>
            <w:vAlign w:val="center"/>
          </w:tcPr>
          <w:p w14:paraId="0539195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-0.5603</w:t>
            </w:r>
          </w:p>
        </w:tc>
        <w:tc>
          <w:tcPr>
            <w:tcW w:w="1215" w:type="dxa"/>
            <w:tcBorders>
              <w:tl2br w:val="nil"/>
              <w:tr2bl w:val="nil"/>
            </w:tcBorders>
            <w:vAlign w:val="center"/>
          </w:tcPr>
          <w:p w14:paraId="4881392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-0.5728</w:t>
            </w:r>
          </w:p>
        </w:tc>
        <w:tc>
          <w:tcPr>
            <w:tcW w:w="1277" w:type="dxa"/>
            <w:tcBorders>
              <w:tl2br w:val="nil"/>
              <w:tr2bl w:val="nil"/>
            </w:tcBorders>
            <w:vAlign w:val="center"/>
          </w:tcPr>
          <w:p w14:paraId="49D4F53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-0.8236</w:t>
            </w:r>
          </w:p>
        </w:tc>
        <w:tc>
          <w:tcPr>
            <w:tcW w:w="1256" w:type="dxa"/>
            <w:tcBorders>
              <w:tl2br w:val="nil"/>
              <w:tr2bl w:val="nil"/>
            </w:tcBorders>
            <w:vAlign w:val="center"/>
          </w:tcPr>
          <w:p w14:paraId="6FFB69E9">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-0.6522</w:t>
            </w:r>
          </w:p>
        </w:tc>
        <w:tc>
          <w:tcPr>
            <w:tcW w:w="1174" w:type="dxa"/>
            <w:tcBorders>
              <w:tl2br w:val="nil"/>
              <w:tr2bl w:val="nil"/>
            </w:tcBorders>
            <w:vAlign w:val="center"/>
          </w:tcPr>
          <w:p w14:paraId="6844BBA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0.006792</w:t>
            </w:r>
          </w:p>
        </w:tc>
        <w:tc>
          <w:tcPr>
            <w:tcW w:w="1323" w:type="dxa"/>
            <w:tcBorders>
              <w:tl2br w:val="nil"/>
              <w:tr2bl w:val="nil"/>
            </w:tcBorders>
            <w:vAlign w:val="center"/>
          </w:tcPr>
          <w:p w14:paraId="651284B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-96.04</w:t>
            </w:r>
          </w:p>
        </w:tc>
      </w:tr>
      <w:tr w14:paraId="171FCD9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90" w:hRule="atLeast"/>
          <w:tblCellSpacing w:w="0" w:type="dxa"/>
          <w:jc w:val="center"/>
        </w:trPr>
        <w:tc>
          <w:tcPr>
            <w:tcW w:w="778" w:type="dxa"/>
            <w:tcBorders>
              <w:tl2br w:val="nil"/>
              <w:tr2bl w:val="nil"/>
            </w:tcBorders>
            <w:vAlign w:val="center"/>
          </w:tcPr>
          <w:p w14:paraId="0245D64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10</w:t>
            </w:r>
          </w:p>
        </w:tc>
        <w:tc>
          <w:tcPr>
            <w:tcW w:w="2391" w:type="dxa"/>
            <w:tcBorders>
              <w:tl2br w:val="nil"/>
              <w:tr2bl w:val="nil"/>
            </w:tcBorders>
            <w:vAlign w:val="center"/>
          </w:tcPr>
          <w:p w14:paraId="43FA4251">
            <w:pPr>
              <w:spacing w:after="0" w:line="240" w:lineRule="auto"/>
              <w:jc w:val="both"/>
              <w:rPr>
                <w:rFonts w:ascii="Times New Roman" w:hAnsi="Times New Roman" w:eastAsia="宋体" w:cs="Times New Roman"/>
                <w:sz w:val="21"/>
                <w:szCs w:val="21"/>
              </w:rPr>
            </w:pPr>
            <w:r>
              <w:rPr>
                <w:rFonts w:ascii="Times New Roman" w:hAnsi="Times New Roman" w:eastAsia="宋体" w:cs="Times New Roman"/>
                <w:sz w:val="21"/>
                <w:szCs w:val="21"/>
              </w:rPr>
              <w:t>gemma_2b_hf_4bit</w:t>
            </w:r>
          </w:p>
        </w:tc>
        <w:tc>
          <w:tcPr>
            <w:tcW w:w="1223" w:type="dxa"/>
            <w:tcBorders>
              <w:tl2br w:val="nil"/>
              <w:tr2bl w:val="nil"/>
            </w:tcBorders>
            <w:vAlign w:val="center"/>
          </w:tcPr>
          <w:p w14:paraId="3915ECE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-1.1043</w:t>
            </w:r>
          </w:p>
        </w:tc>
        <w:tc>
          <w:tcPr>
            <w:tcW w:w="1215" w:type="dxa"/>
            <w:tcBorders>
              <w:tl2br w:val="nil"/>
              <w:tr2bl w:val="nil"/>
            </w:tcBorders>
            <w:vAlign w:val="center"/>
          </w:tcPr>
          <w:p w14:paraId="535BCB8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-1.0736</w:t>
            </w:r>
          </w:p>
        </w:tc>
        <w:tc>
          <w:tcPr>
            <w:tcW w:w="1277" w:type="dxa"/>
            <w:tcBorders>
              <w:tl2br w:val="nil"/>
              <w:tr2bl w:val="nil"/>
            </w:tcBorders>
            <w:vAlign w:val="center"/>
          </w:tcPr>
          <w:p w14:paraId="6D3A6AF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-0.9141</w:t>
            </w:r>
          </w:p>
        </w:tc>
        <w:tc>
          <w:tcPr>
            <w:tcW w:w="1256" w:type="dxa"/>
            <w:tcBorders>
              <w:tl2br w:val="nil"/>
              <w:tr2bl w:val="nil"/>
            </w:tcBorders>
            <w:vAlign w:val="center"/>
          </w:tcPr>
          <w:p w14:paraId="54B62579">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-1.0307</w:t>
            </w:r>
          </w:p>
        </w:tc>
        <w:tc>
          <w:tcPr>
            <w:tcW w:w="1174" w:type="dxa"/>
            <w:tcBorders>
              <w:tl2br w:val="nil"/>
              <w:tr2bl w:val="nil"/>
            </w:tcBorders>
            <w:vAlign w:val="center"/>
          </w:tcPr>
          <w:p w14:paraId="58CD5029">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0.003740</w:t>
            </w:r>
          </w:p>
        </w:tc>
        <w:tc>
          <w:tcPr>
            <w:tcW w:w="1323" w:type="dxa"/>
            <w:tcBorders>
              <w:tl2br w:val="nil"/>
              <w:tr2bl w:val="nil"/>
            </w:tcBorders>
            <w:vAlign w:val="center"/>
          </w:tcPr>
          <w:p w14:paraId="5CFF62B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-275.63</w:t>
            </w:r>
          </w:p>
        </w:tc>
      </w:tr>
    </w:tbl>
    <w:p w14:paraId="73E2B22C">
      <w:pPr>
        <w:spacing w:after="220"/>
        <w:rPr>
          <w:rFonts w:ascii="Times New Roman" w:hAnsi="Times New Roman" w:eastAsia="宋体" w:cs="Times New Roman"/>
          <w:b/>
          <w:sz w:val="24"/>
          <w:szCs w:val="24"/>
        </w:rPr>
      </w:pPr>
    </w:p>
    <w:p w14:paraId="39B9C3C3">
      <w:pPr>
        <w:spacing w:after="220"/>
        <w:rPr>
          <w:rFonts w:ascii="Times New Roman" w:hAnsi="Times New Roman" w:eastAsia="宋体" w:cs="Times New Roman"/>
          <w:sz w:val="24"/>
          <w:szCs w:val="24"/>
        </w:rPr>
      </w:pPr>
      <w:r>
        <w:rPr>
          <w:rFonts w:ascii="Times New Roman" w:hAnsi="Times New Roman" w:eastAsia="宋体" w:cs="Times New Roman"/>
          <w:sz w:val="24"/>
          <w:szCs w:val="24"/>
        </w:rPr>
        <w:t>等权重加权后，</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以281.34的加权QPC位列第一，再次验证其作为通用模型的优越性。</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紧随其后，综合质量最高但成本较高，适合对质量要求极致的混合场景。</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 由于在主观任务上得分为负，加权后排名第四，说明其在纯客观场景外需谨慎使用。</w:t>
      </w:r>
    </w:p>
    <w:p w14:paraId="0F03F783">
      <w:pPr>
        <w:spacing w:after="220"/>
        <w:rPr>
          <w:rFonts w:ascii="Times New Roman" w:hAnsi="Times New Roman" w:eastAsia="宋体" w:cs="Times New Roman"/>
          <w:sz w:val="24"/>
          <w:szCs w:val="24"/>
        </w:rPr>
      </w:pPr>
      <w:r>
        <w:rPr>
          <w:rFonts w:ascii="Times New Roman" w:hAnsi="Times New Roman" w:eastAsia="宋体" w:cs="Times New Roman"/>
          <w:sz w:val="24"/>
          <w:szCs w:val="24"/>
        </w:rPr>
        <w:t>若权重向某一任务倾斜，推荐模型会相应变化。例如，主观任务权重提高时，</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有望超越 </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。因此，在实际部署中，应根据任务分布动态选择最优模型。</w:t>
      </w:r>
    </w:p>
    <w:p w14:paraId="401AB1C4">
      <w:pPr>
        <w:pStyle w:val="3"/>
        <w:bidi w:val="0"/>
      </w:pPr>
      <w:bookmarkStart w:id="17" w:name="bm_5_4_场景化模型选择策略"/>
      <w:r>
        <w:t>5.4 场景化模型选择策略</w:t>
      </w:r>
      <w:bookmarkEnd w:id="17"/>
    </w:p>
    <w:p w14:paraId="4DBF4C46">
      <w:pPr>
        <w:spacing w:after="220"/>
        <w:rPr>
          <w:rFonts w:ascii="Times New Roman" w:hAnsi="Times New Roman" w:eastAsia="宋体" w:cs="Times New Roman"/>
          <w:sz w:val="24"/>
          <w:szCs w:val="24"/>
        </w:rPr>
      </w:pPr>
      <w:r>
        <w:rPr>
          <w:rFonts w:ascii="Times New Roman" w:hAnsi="Times New Roman" w:eastAsia="宋体" w:cs="Times New Roman"/>
          <w:sz w:val="24"/>
          <w:szCs w:val="24"/>
        </w:rPr>
        <w:t>针对四种典型应用场景，各任务报告给出了基于场景得分的推荐模型。多类型对比报告进一步整合了三种任务类型在每一场景下的最佳选择，如表5‑3所示。场景得分综合了质量、成本、速度等维度（具体归一化方式见各报告），得分越高越适合该场景。</w:t>
      </w:r>
    </w:p>
    <w:p w14:paraId="5E61DA20">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表5‑3 各场景下不同任务类型的推荐模型</w:t>
      </w:r>
    </w:p>
    <w:p w14:paraId="33C918E3">
      <w:pPr>
        <w:spacing w:after="220"/>
        <w:rPr>
          <w:rFonts w:ascii="Times New Roman" w:hAnsi="Times New Roman" w:eastAsia="宋体" w:cs="Times New Roman"/>
          <w:b/>
          <w:sz w:val="24"/>
          <w:szCs w:val="24"/>
        </w:rPr>
      </w:pPr>
    </w:p>
    <w:tbl>
      <w:tblPr>
        <w:tblStyle w:val="11"/>
        <w:tblW w:w="0" w:type="auto"/>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2155"/>
        <w:gridCol w:w="1283"/>
        <w:gridCol w:w="2455"/>
        <w:gridCol w:w="1421"/>
      </w:tblGrid>
      <w:tr w14:paraId="6849AB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bottom w:val="single" w:color="auto" w:sz="8" w:space="0"/>
            </w:tcBorders>
            <w:vAlign w:val="center"/>
          </w:tcPr>
          <w:p w14:paraId="518B1A4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场景</w:t>
            </w:r>
          </w:p>
        </w:tc>
        <w:tc>
          <w:tcPr>
            <w:tcW w:w="1283" w:type="dxa"/>
            <w:tcBorders>
              <w:bottom w:val="single" w:color="auto" w:sz="8" w:space="0"/>
            </w:tcBorders>
            <w:vAlign w:val="center"/>
          </w:tcPr>
          <w:p w14:paraId="2B5ECC5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任务类型</w:t>
            </w:r>
          </w:p>
        </w:tc>
        <w:tc>
          <w:tcPr>
            <w:tcW w:w="2455" w:type="dxa"/>
            <w:tcBorders>
              <w:bottom w:val="single" w:color="auto" w:sz="8" w:space="0"/>
            </w:tcBorders>
            <w:vAlign w:val="center"/>
          </w:tcPr>
          <w:p w14:paraId="20C5DA1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推荐模型</w:t>
            </w:r>
          </w:p>
        </w:tc>
        <w:tc>
          <w:tcPr>
            <w:tcW w:w="1421" w:type="dxa"/>
            <w:tcBorders>
              <w:bottom w:val="single" w:color="auto" w:sz="8" w:space="0"/>
            </w:tcBorders>
            <w:vAlign w:val="center"/>
          </w:tcPr>
          <w:p w14:paraId="1CF5E3C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场景得分</w:t>
            </w:r>
          </w:p>
        </w:tc>
      </w:tr>
      <w:tr w14:paraId="7A2317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17792A4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成本敏感</w:t>
            </w:r>
          </w:p>
        </w:tc>
        <w:tc>
          <w:tcPr>
            <w:tcW w:w="1283" w:type="dxa"/>
            <w:tcBorders>
              <w:tl2br w:val="nil"/>
              <w:tr2bl w:val="nil"/>
            </w:tcBorders>
            <w:vAlign w:val="center"/>
          </w:tcPr>
          <w:p w14:paraId="70D7575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均衡</w:t>
            </w:r>
          </w:p>
        </w:tc>
        <w:tc>
          <w:tcPr>
            <w:tcW w:w="2455" w:type="dxa"/>
            <w:tcBorders>
              <w:tl2br w:val="nil"/>
              <w:tr2bl w:val="nil"/>
            </w:tcBorders>
            <w:vAlign w:val="center"/>
          </w:tcPr>
          <w:p w14:paraId="4E408B7A">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c>
          <w:tcPr>
            <w:tcW w:w="1421" w:type="dxa"/>
            <w:tcBorders>
              <w:tl2br w:val="nil"/>
              <w:tr2bl w:val="nil"/>
            </w:tcBorders>
            <w:vAlign w:val="center"/>
          </w:tcPr>
          <w:p w14:paraId="6AB1081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0.9214</w:t>
            </w:r>
          </w:p>
        </w:tc>
      </w:tr>
      <w:tr w14:paraId="1D8959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1F01F044">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center"/>
          </w:tcPr>
          <w:p w14:paraId="5B0DB3A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客观</w:t>
            </w:r>
          </w:p>
        </w:tc>
        <w:tc>
          <w:tcPr>
            <w:tcW w:w="2455" w:type="dxa"/>
            <w:tcBorders>
              <w:tl2br w:val="nil"/>
              <w:tr2bl w:val="nil"/>
            </w:tcBorders>
            <w:vAlign w:val="center"/>
          </w:tcPr>
          <w:p w14:paraId="6F71BF8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gemma_4b_ol_q4km</w:t>
            </w:r>
          </w:p>
        </w:tc>
        <w:tc>
          <w:tcPr>
            <w:tcW w:w="1421" w:type="dxa"/>
            <w:tcBorders>
              <w:tl2br w:val="nil"/>
              <w:tr2bl w:val="nil"/>
            </w:tcBorders>
            <w:vAlign w:val="center"/>
          </w:tcPr>
          <w:p w14:paraId="115419D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0.9467</w:t>
            </w:r>
          </w:p>
        </w:tc>
      </w:tr>
      <w:tr w14:paraId="36668D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611BDB9F">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center"/>
          </w:tcPr>
          <w:p w14:paraId="57D2114A">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主观</w:t>
            </w:r>
          </w:p>
        </w:tc>
        <w:tc>
          <w:tcPr>
            <w:tcW w:w="2455" w:type="dxa"/>
            <w:tcBorders>
              <w:tl2br w:val="nil"/>
              <w:tr2bl w:val="nil"/>
            </w:tcBorders>
            <w:vAlign w:val="center"/>
          </w:tcPr>
          <w:p w14:paraId="4C04DD9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qwen_4b_ol_q4km</w:t>
            </w:r>
          </w:p>
        </w:tc>
        <w:tc>
          <w:tcPr>
            <w:tcW w:w="1421" w:type="dxa"/>
            <w:tcBorders>
              <w:tl2br w:val="nil"/>
              <w:tr2bl w:val="nil"/>
            </w:tcBorders>
            <w:vAlign w:val="center"/>
          </w:tcPr>
          <w:p w14:paraId="26F4E48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0.8880</w:t>
            </w:r>
          </w:p>
        </w:tc>
      </w:tr>
      <w:tr w14:paraId="534007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3E90267A">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质量优先</w:t>
            </w:r>
          </w:p>
        </w:tc>
        <w:tc>
          <w:tcPr>
            <w:tcW w:w="1283" w:type="dxa"/>
            <w:tcBorders>
              <w:tl2br w:val="nil"/>
              <w:tr2bl w:val="nil"/>
            </w:tcBorders>
            <w:vAlign w:val="center"/>
          </w:tcPr>
          <w:p w14:paraId="57637B8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均衡</w:t>
            </w:r>
          </w:p>
        </w:tc>
        <w:tc>
          <w:tcPr>
            <w:tcW w:w="2455" w:type="dxa"/>
            <w:tcBorders>
              <w:tl2br w:val="nil"/>
              <w:tr2bl w:val="nil"/>
            </w:tcBorders>
            <w:vAlign w:val="center"/>
          </w:tcPr>
          <w:p w14:paraId="619B6E1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qwen25_3b_hf_4bit</w:t>
            </w:r>
          </w:p>
        </w:tc>
        <w:tc>
          <w:tcPr>
            <w:tcW w:w="1421" w:type="dxa"/>
            <w:tcBorders>
              <w:tl2br w:val="nil"/>
              <w:tr2bl w:val="nil"/>
            </w:tcBorders>
            <w:vAlign w:val="center"/>
          </w:tcPr>
          <w:p w14:paraId="154612C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0.9325</w:t>
            </w:r>
          </w:p>
        </w:tc>
      </w:tr>
      <w:tr w14:paraId="2C17B2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5C1163D5">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center"/>
          </w:tcPr>
          <w:p w14:paraId="44C9772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客观</w:t>
            </w:r>
          </w:p>
        </w:tc>
        <w:tc>
          <w:tcPr>
            <w:tcW w:w="2455" w:type="dxa"/>
            <w:tcBorders>
              <w:tl2br w:val="nil"/>
              <w:tr2bl w:val="nil"/>
            </w:tcBorders>
            <w:vAlign w:val="center"/>
          </w:tcPr>
          <w:p w14:paraId="3F1926A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gemma_4b_ol_q4km</w:t>
            </w:r>
          </w:p>
        </w:tc>
        <w:tc>
          <w:tcPr>
            <w:tcW w:w="1421" w:type="dxa"/>
            <w:tcBorders>
              <w:tl2br w:val="nil"/>
              <w:tr2bl w:val="nil"/>
            </w:tcBorders>
            <w:vAlign w:val="center"/>
          </w:tcPr>
          <w:p w14:paraId="786B364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0.9867</w:t>
            </w:r>
          </w:p>
        </w:tc>
      </w:tr>
      <w:tr w14:paraId="3BB6267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0D0A8826">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center"/>
          </w:tcPr>
          <w:p w14:paraId="136C88D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主观</w:t>
            </w:r>
          </w:p>
        </w:tc>
        <w:tc>
          <w:tcPr>
            <w:tcW w:w="2455" w:type="dxa"/>
            <w:tcBorders>
              <w:tl2br w:val="nil"/>
              <w:tr2bl w:val="nil"/>
            </w:tcBorders>
            <w:vAlign w:val="center"/>
          </w:tcPr>
          <w:p w14:paraId="26F46BA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qwen25_3b_hf_4bit</w:t>
            </w:r>
          </w:p>
        </w:tc>
        <w:tc>
          <w:tcPr>
            <w:tcW w:w="1421" w:type="dxa"/>
            <w:tcBorders>
              <w:tl2br w:val="nil"/>
              <w:tr2bl w:val="nil"/>
            </w:tcBorders>
            <w:vAlign w:val="center"/>
          </w:tcPr>
          <w:p w14:paraId="4D2DAE5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0.9325</w:t>
            </w:r>
          </w:p>
        </w:tc>
      </w:tr>
      <w:tr w14:paraId="734EA4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075654E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均衡</w:t>
            </w:r>
          </w:p>
          <w:p w14:paraId="4885B95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（质量成本并重）</w:t>
            </w:r>
          </w:p>
        </w:tc>
        <w:tc>
          <w:tcPr>
            <w:tcW w:w="1283" w:type="dxa"/>
            <w:tcBorders>
              <w:tl2br w:val="nil"/>
              <w:tr2bl w:val="nil"/>
            </w:tcBorders>
            <w:vAlign w:val="center"/>
          </w:tcPr>
          <w:p w14:paraId="0EDEF8E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均衡</w:t>
            </w:r>
          </w:p>
        </w:tc>
        <w:tc>
          <w:tcPr>
            <w:tcW w:w="2455" w:type="dxa"/>
            <w:tcBorders>
              <w:tl2br w:val="nil"/>
              <w:tr2bl w:val="nil"/>
            </w:tcBorders>
            <w:vAlign w:val="center"/>
          </w:tcPr>
          <w:p w14:paraId="70C8BA5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c>
          <w:tcPr>
            <w:tcW w:w="1421" w:type="dxa"/>
            <w:tcBorders>
              <w:tl2br w:val="nil"/>
              <w:tr2bl w:val="nil"/>
            </w:tcBorders>
            <w:vAlign w:val="center"/>
          </w:tcPr>
          <w:p w14:paraId="496D35E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0.8986</w:t>
            </w:r>
          </w:p>
        </w:tc>
      </w:tr>
      <w:tr w14:paraId="6EDD3C8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4008BA81">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center"/>
          </w:tcPr>
          <w:p w14:paraId="4219A87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客观</w:t>
            </w:r>
          </w:p>
        </w:tc>
        <w:tc>
          <w:tcPr>
            <w:tcW w:w="2455" w:type="dxa"/>
            <w:tcBorders>
              <w:tl2br w:val="nil"/>
              <w:tr2bl w:val="nil"/>
            </w:tcBorders>
            <w:vAlign w:val="center"/>
          </w:tcPr>
          <w:p w14:paraId="6CE1043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gemma_4b_ol_q4km</w:t>
            </w:r>
          </w:p>
        </w:tc>
        <w:tc>
          <w:tcPr>
            <w:tcW w:w="1421" w:type="dxa"/>
            <w:tcBorders>
              <w:tl2br w:val="nil"/>
              <w:tr2bl w:val="nil"/>
            </w:tcBorders>
            <w:vAlign w:val="center"/>
          </w:tcPr>
          <w:p w14:paraId="7AFD24F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0.9667</w:t>
            </w:r>
          </w:p>
        </w:tc>
      </w:tr>
      <w:tr w14:paraId="60050A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3CBEBF97">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center"/>
          </w:tcPr>
          <w:p w14:paraId="23F1DCE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主观</w:t>
            </w:r>
          </w:p>
        </w:tc>
        <w:tc>
          <w:tcPr>
            <w:tcW w:w="2455" w:type="dxa"/>
            <w:tcBorders>
              <w:tl2br w:val="nil"/>
              <w:tr2bl w:val="nil"/>
            </w:tcBorders>
            <w:vAlign w:val="center"/>
          </w:tcPr>
          <w:p w14:paraId="0D21DB3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qwen25_3b_hf_4bit</w:t>
            </w:r>
          </w:p>
        </w:tc>
        <w:tc>
          <w:tcPr>
            <w:tcW w:w="1421" w:type="dxa"/>
            <w:tcBorders>
              <w:tl2br w:val="nil"/>
              <w:tr2bl w:val="nil"/>
            </w:tcBorders>
            <w:vAlign w:val="center"/>
          </w:tcPr>
          <w:p w14:paraId="3F3FCE9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0.8311</w:t>
            </w:r>
          </w:p>
        </w:tc>
      </w:tr>
      <w:tr w14:paraId="024566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43804FC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速度关键</w:t>
            </w:r>
          </w:p>
        </w:tc>
        <w:tc>
          <w:tcPr>
            <w:tcW w:w="1283" w:type="dxa"/>
            <w:tcBorders>
              <w:tl2br w:val="nil"/>
              <w:tr2bl w:val="nil"/>
            </w:tcBorders>
            <w:vAlign w:val="center"/>
          </w:tcPr>
          <w:p w14:paraId="69813C9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均衡</w:t>
            </w:r>
          </w:p>
        </w:tc>
        <w:tc>
          <w:tcPr>
            <w:tcW w:w="2455" w:type="dxa"/>
            <w:tcBorders>
              <w:tl2br w:val="nil"/>
              <w:tr2bl w:val="nil"/>
            </w:tcBorders>
            <w:vAlign w:val="center"/>
          </w:tcPr>
          <w:p w14:paraId="3115BED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qwen_4b_ol_q4km</w:t>
            </w:r>
          </w:p>
        </w:tc>
        <w:tc>
          <w:tcPr>
            <w:tcW w:w="1421" w:type="dxa"/>
            <w:tcBorders>
              <w:tl2br w:val="nil"/>
              <w:tr2bl w:val="nil"/>
            </w:tcBorders>
            <w:vAlign w:val="center"/>
          </w:tcPr>
          <w:p w14:paraId="14935D5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0.8497</w:t>
            </w:r>
          </w:p>
        </w:tc>
      </w:tr>
      <w:tr w14:paraId="430076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24B9ACB7">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center"/>
          </w:tcPr>
          <w:p w14:paraId="2D81842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客观</w:t>
            </w:r>
          </w:p>
        </w:tc>
        <w:tc>
          <w:tcPr>
            <w:tcW w:w="2455" w:type="dxa"/>
            <w:tcBorders>
              <w:tl2br w:val="nil"/>
              <w:tr2bl w:val="nil"/>
            </w:tcBorders>
            <w:vAlign w:val="center"/>
          </w:tcPr>
          <w:p w14:paraId="33E2CAE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gemma_4b_ol_q4km</w:t>
            </w:r>
          </w:p>
        </w:tc>
        <w:tc>
          <w:tcPr>
            <w:tcW w:w="1421" w:type="dxa"/>
            <w:tcBorders>
              <w:tl2br w:val="nil"/>
              <w:tr2bl w:val="nil"/>
            </w:tcBorders>
            <w:vAlign w:val="center"/>
          </w:tcPr>
          <w:p w14:paraId="309EDDF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0.8330</w:t>
            </w:r>
          </w:p>
        </w:tc>
      </w:tr>
      <w:tr w14:paraId="18B0D3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155" w:type="dxa"/>
            <w:tcBorders>
              <w:tl2br w:val="nil"/>
              <w:tr2bl w:val="nil"/>
            </w:tcBorders>
            <w:vAlign w:val="center"/>
          </w:tcPr>
          <w:p w14:paraId="1A2EB9BC">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center"/>
          </w:tcPr>
          <w:p w14:paraId="0924600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主观</w:t>
            </w:r>
          </w:p>
        </w:tc>
        <w:tc>
          <w:tcPr>
            <w:tcW w:w="2455" w:type="dxa"/>
            <w:tcBorders>
              <w:tl2br w:val="nil"/>
              <w:tr2bl w:val="nil"/>
            </w:tcBorders>
            <w:vAlign w:val="center"/>
          </w:tcPr>
          <w:p w14:paraId="1EA285D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qwen_4b_ol_q4km</w:t>
            </w:r>
          </w:p>
        </w:tc>
        <w:tc>
          <w:tcPr>
            <w:tcW w:w="1421" w:type="dxa"/>
            <w:tcBorders>
              <w:tl2br w:val="nil"/>
              <w:tr2bl w:val="nil"/>
            </w:tcBorders>
            <w:vAlign w:val="center"/>
          </w:tcPr>
          <w:p w14:paraId="3AB8C57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2"/>
                <w:szCs w:val="22"/>
              </w:rPr>
              <w:t>0.8319</w:t>
            </w:r>
          </w:p>
        </w:tc>
      </w:tr>
    </w:tbl>
    <w:p w14:paraId="747BA7B4">
      <w:pPr>
        <w:spacing w:after="220"/>
        <w:rPr>
          <w:rFonts w:ascii="Times New Roman" w:hAnsi="Times New Roman" w:eastAsia="宋体" w:cs="Times New Roman"/>
          <w:b/>
          <w:sz w:val="24"/>
          <w:szCs w:val="24"/>
        </w:rPr>
      </w:pPr>
    </w:p>
    <w:p w14:paraId="3DC88B45">
      <w:pPr>
        <w:spacing w:after="220"/>
        <w:rPr>
          <w:rFonts w:ascii="Times New Roman" w:hAnsi="Times New Roman" w:eastAsia="宋体" w:cs="Times New Roman"/>
          <w:sz w:val="24"/>
          <w:szCs w:val="24"/>
        </w:rPr>
      </w:pPr>
      <w:r>
        <w:rPr>
          <w:rFonts w:ascii="Times New Roman" w:hAnsi="Times New Roman" w:eastAsia="宋体" w:cs="Times New Roman"/>
          <w:sz w:val="24"/>
          <w:szCs w:val="24"/>
        </w:rPr>
        <w:t>从表5‑3可以总结出以下选择规律：</w:t>
      </w:r>
    </w:p>
    <w:p w14:paraId="3C27E2FC">
      <w:pPr>
        <w:numPr>
          <w:ilvl w:val="0"/>
          <w:numId w:val="4"/>
        </w:numPr>
        <w:rPr>
          <w:rFonts w:ascii="Times New Roman" w:hAnsi="Times New Roman" w:eastAsia="宋体" w:cs="Times New Roman"/>
          <w:sz w:val="24"/>
          <w:szCs w:val="24"/>
        </w:rPr>
      </w:pPr>
      <w:r>
        <w:rPr>
          <w:rFonts w:ascii="Times New Roman" w:hAnsi="Times New Roman" w:eastAsia="宋体" w:cs="Times New Roman"/>
          <w:b/>
          <w:sz w:val="24"/>
          <w:szCs w:val="24"/>
        </w:rPr>
        <w:t>成本敏感场景</w:t>
      </w:r>
      <w:r>
        <w:rPr>
          <w:rFonts w:ascii="Times New Roman" w:hAnsi="Times New Roman" w:eastAsia="宋体" w:cs="Times New Roman"/>
          <w:sz w:val="24"/>
          <w:szCs w:val="24"/>
        </w:rPr>
        <w:t xml:space="preserve">：预算有限时，各任务类型均倾向于选择成本极低的小模型，如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（主观）和 </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 xml:space="preserve">（客观），而均衡任务中 </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凭借其高性价比依然领先。</w:t>
      </w:r>
    </w:p>
    <w:p w14:paraId="334EFF98">
      <w:pPr>
        <w:numPr>
          <w:ilvl w:val="0"/>
          <w:numId w:val="4"/>
        </w:numPr>
        <w:rPr>
          <w:rFonts w:ascii="Times New Roman" w:hAnsi="Times New Roman" w:eastAsia="宋体" w:cs="Times New Roman"/>
          <w:sz w:val="24"/>
          <w:szCs w:val="24"/>
        </w:rPr>
      </w:pPr>
      <w:r>
        <w:rPr>
          <w:rFonts w:ascii="Times New Roman" w:hAnsi="Times New Roman" w:eastAsia="宋体" w:cs="Times New Roman"/>
          <w:b/>
          <w:sz w:val="24"/>
          <w:szCs w:val="24"/>
        </w:rPr>
        <w:t>质量优先场景</w:t>
      </w:r>
      <w:r>
        <w:rPr>
          <w:rFonts w:ascii="Times New Roman" w:hAnsi="Times New Roman" w:eastAsia="宋体" w:cs="Times New Roman"/>
          <w:sz w:val="24"/>
          <w:szCs w:val="24"/>
        </w:rPr>
        <w:t xml:space="preserve">：不考虑成本时，各任务的首选均为该任务类型下质量得分最高的模型，如主观任务中的 </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和客观任务中的 </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w:t>
      </w:r>
    </w:p>
    <w:p w14:paraId="75B5FDE1">
      <w:pPr>
        <w:numPr>
          <w:ilvl w:val="0"/>
          <w:numId w:val="4"/>
        </w:numPr>
        <w:rPr>
          <w:rFonts w:ascii="Times New Roman" w:hAnsi="Times New Roman" w:eastAsia="宋体" w:cs="Times New Roman"/>
          <w:sz w:val="24"/>
          <w:szCs w:val="24"/>
        </w:rPr>
      </w:pPr>
      <w:r>
        <w:rPr>
          <w:rFonts w:ascii="Times New Roman" w:hAnsi="Times New Roman" w:eastAsia="宋体" w:cs="Times New Roman"/>
          <w:b/>
          <w:sz w:val="24"/>
          <w:szCs w:val="24"/>
        </w:rPr>
        <w:t>均衡场景</w:t>
      </w:r>
      <w:r>
        <w:rPr>
          <w:rFonts w:ascii="Times New Roman" w:hAnsi="Times New Roman" w:eastAsia="宋体" w:cs="Times New Roman"/>
          <w:sz w:val="24"/>
          <w:szCs w:val="24"/>
        </w:rPr>
        <w:t xml:space="preserve">：同时考虑质量和成本，推荐模型与成本敏感场景相似，但主观任务中 </w:t>
      </w:r>
      <w:r>
        <w:rPr>
          <w:rStyle w:val="12"/>
          <w:rFonts w:ascii="Times New Roman" w:hAnsi="Times New Roman" w:eastAsia="宋体" w:cs="Times New Roman"/>
          <w:sz w:val="24"/>
          <w:szCs w:val="24"/>
          <w:shd w:val="clear" w:color="auto" w:fill="F8F8FA"/>
        </w:rPr>
        <w:t>qwen25_3b_hf_4bit</w:t>
      </w:r>
      <w:r>
        <w:rPr>
          <w:rFonts w:ascii="Times New Roman" w:hAnsi="Times New Roman" w:eastAsia="宋体" w:cs="Times New Roman"/>
          <w:sz w:val="24"/>
          <w:szCs w:val="24"/>
        </w:rPr>
        <w:t xml:space="preserve"> 取代了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，表明在主观任务上，用户愿意为质量提升支付额外成本。</w:t>
      </w:r>
    </w:p>
    <w:p w14:paraId="17DF925C">
      <w:pPr>
        <w:numPr>
          <w:ilvl w:val="0"/>
          <w:numId w:val="4"/>
        </w:numPr>
        <w:rPr>
          <w:rFonts w:ascii="Times New Roman" w:hAnsi="Times New Roman" w:eastAsia="宋体" w:cs="Times New Roman"/>
          <w:sz w:val="24"/>
          <w:szCs w:val="24"/>
        </w:rPr>
      </w:pPr>
      <w:r>
        <w:rPr>
          <w:rFonts w:ascii="Times New Roman" w:hAnsi="Times New Roman" w:eastAsia="宋体" w:cs="Times New Roman"/>
          <w:b/>
          <w:sz w:val="24"/>
          <w:szCs w:val="24"/>
        </w:rPr>
        <w:t>速度关键场景</w:t>
      </w:r>
      <w:r>
        <w:rPr>
          <w:rFonts w:ascii="Times New Roman" w:hAnsi="Times New Roman" w:eastAsia="宋体" w:cs="Times New Roman"/>
          <w:sz w:val="24"/>
          <w:szCs w:val="24"/>
        </w:rPr>
        <w:t xml:space="preserve">：推理速度至关重要，推荐模型均为速度最快的模型之一，如 </w:t>
      </w:r>
      <w:r>
        <w:rPr>
          <w:rStyle w:val="12"/>
          <w:rFonts w:ascii="Times New Roman" w:hAnsi="Times New Roman" w:eastAsia="宋体" w:cs="Times New Roman"/>
          <w:sz w:val="24"/>
          <w:szCs w:val="24"/>
          <w:shd w:val="clear" w:color="auto" w:fill="F8F8FA"/>
        </w:rPr>
        <w:t>qwen_4b_ol_q4km</w:t>
      </w:r>
      <w:r>
        <w:rPr>
          <w:rFonts w:ascii="Times New Roman" w:hAnsi="Times New Roman" w:eastAsia="宋体" w:cs="Times New Roman"/>
          <w:sz w:val="24"/>
          <w:szCs w:val="24"/>
        </w:rPr>
        <w:t xml:space="preserve">（59.35 tokens/s）和 </w:t>
      </w:r>
      <w:r>
        <w:rPr>
          <w:rStyle w:val="12"/>
          <w:rFonts w:ascii="Times New Roman" w:hAnsi="Times New Roman" w:eastAsia="宋体" w:cs="Times New Roman"/>
          <w:sz w:val="24"/>
          <w:szCs w:val="24"/>
          <w:shd w:val="clear" w:color="auto" w:fill="F8F8FA"/>
        </w:rPr>
        <w:t>gemma_4b_ol_q4km</w:t>
      </w:r>
      <w:r>
        <w:rPr>
          <w:rFonts w:ascii="Times New Roman" w:hAnsi="Times New Roman" w:eastAsia="宋体" w:cs="Times New Roman"/>
          <w:sz w:val="24"/>
          <w:szCs w:val="24"/>
        </w:rPr>
        <w:t>（40.20 tokens/s），同时兼顾一定的质量。</w:t>
      </w:r>
    </w:p>
    <w:p w14:paraId="330C9972">
      <w:pPr>
        <w:spacing w:after="220"/>
        <w:rPr>
          <w:rFonts w:ascii="Times New Roman" w:hAnsi="Times New Roman" w:eastAsia="宋体" w:cs="Times New Roman"/>
          <w:sz w:val="24"/>
          <w:szCs w:val="24"/>
        </w:rPr>
      </w:pPr>
      <w:r>
        <w:rPr>
          <w:rFonts w:ascii="Times New Roman" w:hAnsi="Times New Roman" w:eastAsia="宋体" w:cs="Times New Roman"/>
          <w:sz w:val="24"/>
          <w:szCs w:val="24"/>
        </w:rPr>
        <w:t>这些策略为不同业务需求的模型选型提供了直接参考。</w:t>
      </w:r>
    </w:p>
    <w:p w14:paraId="0D000291">
      <w:pPr>
        <w:pStyle w:val="3"/>
        <w:bidi w:val="0"/>
      </w:pPr>
      <w:bookmarkStart w:id="18" w:name="bm_5_5_成本_质量权衡的边际效益分析"/>
      <w:r>
        <w:t>5.5 成本-质量权衡的边际效益分析</w:t>
      </w:r>
      <w:bookmarkEnd w:id="18"/>
    </w:p>
    <w:p w14:paraId="72C5FAE4">
      <w:pPr>
        <w:spacing w:after="220"/>
        <w:rPr>
          <w:rFonts w:ascii="Times New Roman" w:hAnsi="Times New Roman" w:eastAsia="宋体" w:cs="Times New Roman"/>
          <w:sz w:val="24"/>
          <w:szCs w:val="24"/>
        </w:rPr>
      </w:pPr>
      <w:r>
        <w:rPr>
          <w:rFonts w:ascii="Times New Roman" w:hAnsi="Times New Roman" w:eastAsia="宋体" w:cs="Times New Roman"/>
          <w:sz w:val="24"/>
          <w:szCs w:val="24"/>
        </w:rPr>
        <w:t>成本与质量之间通常存在边际递减效应：初期成本投入能带来显著质量提升，但超过某一点后，质量增益逐渐放缓。识别这一拐点对于寻找性价比最优模型至关重要。</w:t>
      </w:r>
    </w:p>
    <w:p w14:paraId="30FA9D92">
      <w:pPr>
        <w:spacing w:after="220"/>
        <w:rPr>
          <w:rFonts w:ascii="Times New Roman" w:hAnsi="Times New Roman" w:eastAsia="宋体" w:cs="Times New Roman"/>
          <w:sz w:val="24"/>
          <w:szCs w:val="24"/>
        </w:rPr>
      </w:pPr>
      <w:r>
        <w:rPr>
          <w:rFonts w:ascii="Times New Roman" w:hAnsi="Times New Roman" w:eastAsia="宋体" w:cs="Times New Roman"/>
          <w:sz w:val="24"/>
          <w:szCs w:val="24"/>
        </w:rPr>
        <w:t>各任务报告均采用对数函数拟合成本‑质量关系，并计算边际效益（</w:t>
      </w:r>
      <m:oMath>
        <m:r>
          <m:rPr>
            <m:sty m:val="p"/>
          </m:rPr>
          <w:rPr>
            <w:rFonts w:ascii="Times New Roman" w:hAnsi="Times New Roman" w:eastAsia="宋体" w:cs="Times New Roman"/>
            <w:sz w:val="24"/>
            <w:szCs w:val="24"/>
          </w:rPr>
          <m:t>Δ</m:t>
        </m:r>
        <m:r>
          <m:rPr/>
          <w:rPr>
            <w:rFonts w:ascii="Times New Roman" w:hAnsi="Times New Roman" w:eastAsia="宋体" w:cs="Times New Roman"/>
            <w:sz w:val="24"/>
            <w:szCs w:val="24"/>
          </w:rPr>
          <m:t>Q</m:t>
        </m:r>
        <m:r>
          <m:rPr>
            <m:sty m:val="p"/>
          </m:rPr>
          <w:rPr>
            <w:rFonts w:ascii="Times New Roman" w:hAnsi="Times New Roman" w:eastAsia="宋体" w:cs="Times New Roman"/>
            <w:sz w:val="24"/>
            <w:szCs w:val="24"/>
          </w:rPr>
          <m:t>/Δ</m:t>
        </m:r>
        <m:r>
          <m:rPr/>
          <w:rPr>
            <w:rFonts w:ascii="Times New Roman" w:hAnsi="Times New Roman" w:eastAsia="宋体" w:cs="Times New Roman"/>
            <w:sz w:val="24"/>
            <w:szCs w:val="24"/>
          </w:rPr>
          <m:t>C</m:t>
        </m:r>
      </m:oMath>
      <w:r>
        <w:rPr>
          <w:rFonts w:ascii="Times New Roman" w:hAnsi="Times New Roman" w:eastAsia="宋体" w:cs="Times New Roman"/>
          <w:sz w:val="24"/>
          <w:szCs w:val="24"/>
        </w:rPr>
        <w:t>）。拟合公式及拐点模型汇总于表5‑4。</w:t>
      </w:r>
    </w:p>
    <w:p w14:paraId="4FD70F6D">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表5‑4 各任务成本-质量拟合曲线与拐点模型</w:t>
      </w:r>
    </w:p>
    <w:tbl>
      <w:tblPr>
        <w:tblStyle w:val="11"/>
        <w:tblW w:w="0" w:type="auto"/>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1358"/>
        <w:gridCol w:w="2914"/>
        <w:gridCol w:w="1568"/>
        <w:gridCol w:w="2514"/>
      </w:tblGrid>
      <w:tr w14:paraId="72D044E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58" w:type="dxa"/>
            <w:tcBorders>
              <w:bottom w:val="single" w:color="auto" w:sz="8" w:space="0"/>
            </w:tcBorders>
          </w:tcPr>
          <w:p w14:paraId="36ABC39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任务类型</w:t>
            </w:r>
          </w:p>
        </w:tc>
        <w:tc>
          <w:tcPr>
            <w:tcW w:w="2914" w:type="dxa"/>
            <w:tcBorders>
              <w:bottom w:val="single" w:color="auto" w:sz="8" w:space="0"/>
            </w:tcBorders>
          </w:tcPr>
          <w:p w14:paraId="2DC7DB0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拟合公式</w:t>
            </w:r>
          </w:p>
        </w:tc>
        <w:tc>
          <w:tcPr>
            <w:tcW w:w="1568" w:type="dxa"/>
            <w:tcBorders>
              <w:bottom w:val="single" w:color="auto" w:sz="8" w:space="0"/>
            </w:tcBorders>
          </w:tcPr>
          <w:p w14:paraId="51C3ECAC">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 xml:space="preserve">拟合优度 </w:t>
            </w:r>
            <m:oMath>
              <m:sSup>
                <m:sSupPr>
                  <m:ctrlPr>
                    <w:rPr>
                      <w:rFonts w:ascii="Cambria Math" w:hAnsi="Cambria Math" w:eastAsia="宋体" w:cs="Times New Roman"/>
                      <w:sz w:val="22"/>
                      <w:szCs w:val="22"/>
                    </w:rPr>
                  </m:ctrlPr>
                </m:sSupPr>
                <m:e>
                  <m:r>
                    <m:rPr/>
                    <w:rPr>
                      <w:rFonts w:ascii="Times New Roman" w:hAnsi="Times New Roman" w:eastAsia="宋体" w:cs="Times New Roman"/>
                      <w:sz w:val="22"/>
                      <w:szCs w:val="22"/>
                    </w:rPr>
                    <m:t>R</m:t>
                  </m:r>
                  <m:ctrlPr>
                    <w:rPr>
                      <w:rFonts w:ascii="Cambria Math" w:hAnsi="Cambria Math" w:eastAsia="宋体" w:cs="Times New Roman"/>
                      <w:sz w:val="22"/>
                      <w:szCs w:val="22"/>
                    </w:rPr>
                  </m:ctrlPr>
                </m:e>
                <m:sup>
                  <m:r>
                    <m:rPr>
                      <m:sty m:val="p"/>
                    </m:rPr>
                    <w:rPr>
                      <w:rFonts w:ascii="Times New Roman" w:hAnsi="Times New Roman" w:eastAsia="宋体" w:cs="Times New Roman"/>
                      <w:sz w:val="22"/>
                      <w:szCs w:val="22"/>
                    </w:rPr>
                    <m:t>2</m:t>
                  </m:r>
                  <m:ctrlPr>
                    <w:rPr>
                      <w:rFonts w:ascii="Cambria Math" w:hAnsi="Cambria Math" w:eastAsia="宋体" w:cs="Times New Roman"/>
                      <w:sz w:val="22"/>
                      <w:szCs w:val="22"/>
                    </w:rPr>
                  </m:ctrlPr>
                </m:sup>
              </m:sSup>
            </m:oMath>
          </w:p>
        </w:tc>
        <w:tc>
          <w:tcPr>
            <w:tcW w:w="2514" w:type="dxa"/>
            <w:tcBorders>
              <w:bottom w:val="single" w:color="auto" w:sz="8" w:space="0"/>
            </w:tcBorders>
          </w:tcPr>
          <w:p w14:paraId="731FA715">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拐点模型</w:t>
            </w:r>
          </w:p>
        </w:tc>
      </w:tr>
      <w:tr w14:paraId="4BD4DF2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58" w:type="dxa"/>
            <w:tcBorders>
              <w:tl2br w:val="nil"/>
              <w:tr2bl w:val="nil"/>
            </w:tcBorders>
          </w:tcPr>
          <w:p w14:paraId="54CD0A1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均衡配置</w:t>
            </w:r>
          </w:p>
        </w:tc>
        <w:tc>
          <w:tcPr>
            <w:tcW w:w="2914" w:type="dxa"/>
            <w:tcBorders>
              <w:tl2br w:val="nil"/>
              <w:tr2bl w:val="nil"/>
            </w:tcBorders>
          </w:tcPr>
          <w:p w14:paraId="0872F80B">
            <w:pPr>
              <w:spacing w:after="0" w:line="240" w:lineRule="auto"/>
              <w:rPr>
                <w:rFonts w:ascii="Times New Roman" w:hAnsi="Times New Roman" w:eastAsia="宋体" w:cs="Times New Roman"/>
                <w:sz w:val="22"/>
                <w:szCs w:val="22"/>
              </w:rPr>
            </w:pPr>
            <m:oMathPara>
              <m:oMathParaPr>
                <m:jc m:val="left"/>
              </m:oMathParaPr>
              <m:oMath>
                <m:r>
                  <m:rPr/>
                  <w:rPr>
                    <w:rFonts w:ascii="Times New Roman" w:hAnsi="Times New Roman" w:eastAsia="宋体" w:cs="Times New Roman"/>
                    <w:sz w:val="22"/>
                    <w:szCs w:val="22"/>
                  </w:rPr>
                  <m:t>Q</m:t>
                </m:r>
                <m:r>
                  <m:rPr>
                    <m:sty m:val="p"/>
                  </m:rPr>
                  <w:rPr>
                    <w:rFonts w:ascii="Times New Roman" w:hAnsi="Times New Roman" w:eastAsia="宋体" w:cs="Times New Roman"/>
                    <w:sz w:val="22"/>
                    <w:szCs w:val="22"/>
                  </w:rPr>
                  <m:t>=−0.1095ln⁡(</m:t>
                </m:r>
                <m:r>
                  <m:rPr/>
                  <w:rPr>
                    <w:rFonts w:ascii="Times New Roman" w:hAnsi="Times New Roman" w:eastAsia="宋体" w:cs="Times New Roman"/>
                    <w:sz w:val="22"/>
                    <w:szCs w:val="22"/>
                  </w:rPr>
                  <m:t>C</m:t>
                </m:r>
                <m:r>
                  <m:rPr>
                    <m:sty m:val="p"/>
                  </m:rPr>
                  <w:rPr>
                    <w:rFonts w:ascii="Times New Roman" w:hAnsi="Times New Roman" w:eastAsia="宋体" w:cs="Times New Roman"/>
                    <w:sz w:val="22"/>
                    <w:szCs w:val="22"/>
                  </w:rPr>
                  <m:t>)−0.6077</m:t>
                </m:r>
              </m:oMath>
            </m:oMathPara>
          </w:p>
        </w:tc>
        <w:tc>
          <w:tcPr>
            <w:tcW w:w="1568" w:type="dxa"/>
            <w:tcBorders>
              <w:tl2br w:val="nil"/>
              <w:tr2bl w:val="nil"/>
            </w:tcBorders>
          </w:tcPr>
          <w:p w14:paraId="7E0059E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0.0094</w:t>
            </w:r>
          </w:p>
        </w:tc>
        <w:tc>
          <w:tcPr>
            <w:tcW w:w="2514" w:type="dxa"/>
            <w:tcBorders>
              <w:tl2br w:val="nil"/>
              <w:tr2bl w:val="nil"/>
            </w:tcBorders>
          </w:tcPr>
          <w:p w14:paraId="19425797">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r>
      <w:tr w14:paraId="128B6D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58" w:type="dxa"/>
            <w:tcBorders>
              <w:tl2br w:val="nil"/>
              <w:tr2bl w:val="nil"/>
            </w:tcBorders>
          </w:tcPr>
          <w:p w14:paraId="642BFEC6">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客观为主</w:t>
            </w:r>
          </w:p>
        </w:tc>
        <w:tc>
          <w:tcPr>
            <w:tcW w:w="2914" w:type="dxa"/>
            <w:tcBorders>
              <w:tl2br w:val="nil"/>
              <w:tr2bl w:val="nil"/>
            </w:tcBorders>
          </w:tcPr>
          <w:p w14:paraId="31FED0C4">
            <w:pPr>
              <w:spacing w:after="0" w:line="240" w:lineRule="auto"/>
              <w:rPr>
                <w:rFonts w:ascii="Times New Roman" w:hAnsi="Times New Roman" w:eastAsia="宋体" w:cs="Times New Roman"/>
                <w:sz w:val="22"/>
                <w:szCs w:val="22"/>
              </w:rPr>
            </w:pPr>
            <m:oMathPara>
              <m:oMathParaPr>
                <m:jc m:val="left"/>
              </m:oMathParaPr>
              <m:oMath>
                <m:r>
                  <m:rPr/>
                  <w:rPr>
                    <w:rFonts w:ascii="Times New Roman" w:hAnsi="Times New Roman" w:eastAsia="宋体" w:cs="Times New Roman"/>
                    <w:sz w:val="22"/>
                    <w:szCs w:val="22"/>
                  </w:rPr>
                  <m:t>Q</m:t>
                </m:r>
                <m:r>
                  <m:rPr>
                    <m:sty m:val="p"/>
                  </m:rPr>
                  <w:rPr>
                    <w:rFonts w:ascii="Times New Roman" w:hAnsi="Times New Roman" w:eastAsia="宋体" w:cs="Times New Roman"/>
                    <w:sz w:val="22"/>
                    <w:szCs w:val="22"/>
                  </w:rPr>
                  <m:t>=−0.2305ln⁡(</m:t>
                </m:r>
                <m:r>
                  <m:rPr/>
                  <w:rPr>
                    <w:rFonts w:ascii="Times New Roman" w:hAnsi="Times New Roman" w:eastAsia="宋体" w:cs="Times New Roman"/>
                    <w:sz w:val="22"/>
                    <w:szCs w:val="22"/>
                  </w:rPr>
                  <m:t>C</m:t>
                </m:r>
                <m:r>
                  <m:rPr>
                    <m:sty m:val="p"/>
                  </m:rPr>
                  <w:rPr>
                    <w:rFonts w:ascii="Times New Roman" w:hAnsi="Times New Roman" w:eastAsia="宋体" w:cs="Times New Roman"/>
                    <w:sz w:val="22"/>
                    <w:szCs w:val="22"/>
                  </w:rPr>
                  <m:t>)−1.2788</m:t>
                </m:r>
              </m:oMath>
            </m:oMathPara>
          </w:p>
        </w:tc>
        <w:tc>
          <w:tcPr>
            <w:tcW w:w="1568" w:type="dxa"/>
            <w:tcBorders>
              <w:tl2br w:val="nil"/>
              <w:tr2bl w:val="nil"/>
            </w:tcBorders>
          </w:tcPr>
          <w:p w14:paraId="246D33AE">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0.0306</w:t>
            </w:r>
          </w:p>
        </w:tc>
        <w:tc>
          <w:tcPr>
            <w:tcW w:w="2514" w:type="dxa"/>
            <w:tcBorders>
              <w:tl2br w:val="nil"/>
              <w:tr2bl w:val="nil"/>
            </w:tcBorders>
          </w:tcPr>
          <w:p w14:paraId="59FD4CA4">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r>
      <w:tr w14:paraId="20FA552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58" w:type="dxa"/>
            <w:tcBorders>
              <w:tl2br w:val="nil"/>
              <w:tr2bl w:val="nil"/>
            </w:tcBorders>
          </w:tcPr>
          <w:p w14:paraId="14244B0B">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主观为主</w:t>
            </w:r>
          </w:p>
        </w:tc>
        <w:tc>
          <w:tcPr>
            <w:tcW w:w="2914" w:type="dxa"/>
            <w:tcBorders>
              <w:tl2br w:val="nil"/>
              <w:tr2bl w:val="nil"/>
            </w:tcBorders>
          </w:tcPr>
          <w:p w14:paraId="6B6F1A41">
            <w:pPr>
              <w:spacing w:after="0" w:line="240" w:lineRule="auto"/>
              <w:rPr>
                <w:rFonts w:ascii="Times New Roman" w:hAnsi="Times New Roman" w:eastAsia="宋体" w:cs="Times New Roman"/>
                <w:sz w:val="22"/>
                <w:szCs w:val="22"/>
              </w:rPr>
            </w:pPr>
            <m:oMathPara>
              <m:oMathParaPr>
                <m:jc m:val="left"/>
              </m:oMathParaPr>
              <m:oMath>
                <m:r>
                  <m:rPr/>
                  <w:rPr>
                    <w:rFonts w:ascii="Times New Roman" w:hAnsi="Times New Roman" w:eastAsia="宋体" w:cs="Times New Roman"/>
                    <w:sz w:val="22"/>
                    <w:szCs w:val="22"/>
                  </w:rPr>
                  <m:t>Q</m:t>
                </m:r>
                <m:r>
                  <m:rPr>
                    <m:sty m:val="p"/>
                  </m:rPr>
                  <w:rPr>
                    <w:rFonts w:ascii="Times New Roman" w:hAnsi="Times New Roman" w:eastAsia="宋体" w:cs="Times New Roman"/>
                    <w:sz w:val="22"/>
                    <w:szCs w:val="22"/>
                  </w:rPr>
                  <m:t>=0.1946ln⁡(</m:t>
                </m:r>
                <m:r>
                  <m:rPr/>
                  <w:rPr>
                    <w:rFonts w:ascii="Times New Roman" w:hAnsi="Times New Roman" w:eastAsia="宋体" w:cs="Times New Roman"/>
                    <w:sz w:val="22"/>
                    <w:szCs w:val="22"/>
                  </w:rPr>
                  <m:t>C</m:t>
                </m:r>
                <m:r>
                  <m:rPr>
                    <m:sty m:val="p"/>
                  </m:rPr>
                  <w:rPr>
                    <w:rFonts w:ascii="Times New Roman" w:hAnsi="Times New Roman" w:eastAsia="宋体" w:cs="Times New Roman"/>
                    <w:sz w:val="22"/>
                    <w:szCs w:val="22"/>
                  </w:rPr>
                  <m:t>)+1.0799</m:t>
                </m:r>
              </m:oMath>
            </m:oMathPara>
          </w:p>
        </w:tc>
        <w:tc>
          <w:tcPr>
            <w:tcW w:w="1568" w:type="dxa"/>
            <w:tcBorders>
              <w:tl2br w:val="nil"/>
              <w:tr2bl w:val="nil"/>
            </w:tcBorders>
          </w:tcPr>
          <w:p w14:paraId="3CB78F99">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0.0244</w:t>
            </w:r>
          </w:p>
        </w:tc>
        <w:tc>
          <w:tcPr>
            <w:tcW w:w="2514" w:type="dxa"/>
            <w:tcBorders>
              <w:tl2br w:val="nil"/>
              <w:tr2bl w:val="nil"/>
            </w:tcBorders>
          </w:tcPr>
          <w:p w14:paraId="31A6E892">
            <w:pPr>
              <w:spacing w:after="0" w:line="240" w:lineRule="auto"/>
              <w:rPr>
                <w:rFonts w:ascii="Times New Roman" w:hAnsi="Times New Roman" w:eastAsia="宋体" w:cs="Times New Roman"/>
                <w:sz w:val="22"/>
                <w:szCs w:val="22"/>
              </w:rPr>
            </w:pPr>
            <w:r>
              <w:rPr>
                <w:rFonts w:ascii="Times New Roman" w:hAnsi="Times New Roman" w:eastAsia="宋体" w:cs="Times New Roman"/>
                <w:sz w:val="22"/>
                <w:szCs w:val="22"/>
              </w:rPr>
              <w:t>deepseek_8b_ol_q4km</w:t>
            </w:r>
          </w:p>
        </w:tc>
      </w:tr>
    </w:tbl>
    <w:p w14:paraId="0687F25C">
      <w:pPr>
        <w:spacing w:after="220"/>
        <w:rPr>
          <w:rFonts w:ascii="Times New Roman" w:hAnsi="Times New Roman" w:eastAsia="宋体" w:cs="Times New Roman"/>
          <w:b/>
          <w:sz w:val="24"/>
          <w:szCs w:val="24"/>
        </w:rPr>
      </w:pPr>
    </w:p>
    <w:p w14:paraId="09C97E0C">
      <w:pPr>
        <w:spacing w:after="220"/>
        <w:rPr>
          <w:rFonts w:ascii="Times New Roman" w:hAnsi="Times New Roman" w:eastAsia="宋体" w:cs="Times New Roman"/>
          <w:sz w:val="24"/>
          <w:szCs w:val="24"/>
        </w:rPr>
      </w:pPr>
      <w:r>
        <w:rPr>
          <w:rFonts w:ascii="Times New Roman" w:hAnsi="Times New Roman" w:eastAsia="宋体" w:cs="Times New Roman"/>
          <w:sz w:val="24"/>
          <w:szCs w:val="24"/>
        </w:rPr>
        <w:t>尽管拟合优度较低（</w:t>
      </w:r>
      <m:oMath>
        <m:sSup>
          <m:sSupPr>
            <m:ctrlPr>
              <w:rPr>
                <w:rFonts w:ascii="Cambria Math" w:hAnsi="Cambria Math" w:eastAsia="宋体" w:cs="Times New Roman"/>
                <w:sz w:val="24"/>
                <w:szCs w:val="24"/>
              </w:rPr>
            </m:ctrlPr>
          </m:sSup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r>
          <m:rPr>
            <m:sty m:val="p"/>
          </m:rPr>
          <w:rPr>
            <w:rFonts w:ascii="Times New Roman" w:hAnsi="Times New Roman" w:eastAsia="宋体" w:cs="Times New Roman"/>
            <w:sz w:val="24"/>
            <w:szCs w:val="24"/>
          </w:rPr>
          <m:t>&lt;0.05</m:t>
        </m:r>
      </m:oMath>
      <w:r>
        <w:rPr>
          <w:rFonts w:ascii="Times New Roman" w:hAnsi="Times New Roman" w:eastAsia="宋体" w:cs="Times New Roman"/>
          <w:sz w:val="24"/>
          <w:szCs w:val="24"/>
        </w:rPr>
        <w:t>），表明成本不是质量的唯一决定因素，但拐点识别仍具有参考意义。值得注意的是，</w:t>
      </w:r>
      <w:r>
        <w:rPr>
          <w:rFonts w:ascii="Times New Roman" w:hAnsi="Times New Roman" w:eastAsia="宋体" w:cs="Times New Roman"/>
          <w:b/>
          <w:sz w:val="24"/>
          <w:szCs w:val="24"/>
        </w:rPr>
        <w:t xml:space="preserve">三种任务类型的拐点模型均为 </w:t>
      </w:r>
      <w:r>
        <w:rPr>
          <w:rStyle w:val="12"/>
          <w:rFonts w:ascii="Times New Roman" w:hAnsi="Times New Roman" w:eastAsia="宋体" w:cs="Times New Roman"/>
          <w:b/>
          <w:sz w:val="24"/>
          <w:szCs w:val="24"/>
          <w:shd w:val="clear" w:color="auto" w:fill="F8F8FA"/>
        </w:rPr>
        <w:t>deepseek_8b_ol_q4km</w:t>
      </w:r>
      <w:r>
        <w:rPr>
          <w:rFonts w:ascii="Times New Roman" w:hAnsi="Times New Roman" w:eastAsia="宋体" w:cs="Times New Roman"/>
          <w:sz w:val="24"/>
          <w:szCs w:val="24"/>
        </w:rPr>
        <w:t>，说明该模型在成本‑质量权衡中处于最优边际效益位置。以均衡配置为例，边际效益排序显示（表5‑5），</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 xml:space="preserve"> 的边际效益高达594,034，远高于其他模型，意味着在此成本点附近增加微小成本可获得巨大的质量提升；超过该点后，质量提升显著放缓。</w:t>
      </w:r>
    </w:p>
    <w:p w14:paraId="2EC3D28E">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表5‑5 均衡配置任务边际效益排序（部分）</w:t>
      </w:r>
    </w:p>
    <w:tbl>
      <w:tblPr>
        <w:tblStyle w:val="11"/>
        <w:tblW w:w="0" w:type="auto"/>
        <w:jc w:val="center"/>
        <w:tblCellSpacing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2349"/>
        <w:gridCol w:w="1145"/>
        <w:gridCol w:w="925"/>
        <w:gridCol w:w="1200"/>
      </w:tblGrid>
      <w:tr w14:paraId="7D95C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12" w:space="0"/>
              <w:bottom w:val="single" w:color="000000" w:sz="4" w:space="0"/>
              <w:tl2br w:val="nil"/>
            </w:tcBorders>
            <w:shd w:val="clear" w:color="auto" w:fill="FFFFFF"/>
          </w:tcPr>
          <w:p w14:paraId="02A12F7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模型</w:t>
            </w:r>
          </w:p>
        </w:tc>
        <w:tc>
          <w:tcPr>
            <w:tcBorders>
              <w:top w:val="single" w:color="000000" w:sz="12" w:space="0"/>
              <w:bottom w:val="single" w:color="000000" w:sz="4" w:space="0"/>
            </w:tcBorders>
            <w:shd w:val="clear" w:color="auto" w:fill="FFFFFF"/>
          </w:tcPr>
          <w:p w14:paraId="08C7B29D">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成本($)</w:t>
            </w:r>
          </w:p>
        </w:tc>
        <w:tc>
          <w:tcPr>
            <w:tcBorders>
              <w:top w:val="single" w:color="000000" w:sz="12" w:space="0"/>
              <w:bottom w:val="single" w:color="000000" w:sz="4" w:space="0"/>
            </w:tcBorders>
            <w:shd w:val="clear" w:color="auto" w:fill="FFFFFF"/>
          </w:tcPr>
          <w:p w14:paraId="03FD183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质量</w:t>
            </w:r>
          </w:p>
        </w:tc>
        <w:tc>
          <w:tcPr>
            <w:tcBorders>
              <w:top w:val="single" w:color="000000" w:sz="12" w:space="0"/>
              <w:bottom w:val="single" w:color="000000" w:sz="4" w:space="0"/>
            </w:tcBorders>
            <w:shd w:val="clear" w:color="auto" w:fill="FFFFFF"/>
          </w:tcPr>
          <w:p w14:paraId="40D6240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边际效益</w:t>
            </w:r>
          </w:p>
        </w:tc>
      </w:tr>
      <w:tr w14:paraId="1380C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4" w:space="0"/>
            </w:tcBorders>
            <w:shd w:val="clear" w:color="auto" w:fill="FFFFFF"/>
          </w:tcPr>
          <w:p w14:paraId="1639F2E9">
            <w:pPr>
              <w:spacing w:after="0" w:line="240" w:lineRule="auto"/>
              <w:jc w:val="both"/>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deepseek_8b_ol_q4km</w:t>
            </w:r>
          </w:p>
        </w:tc>
        <w:tc>
          <w:tcPr>
            <w:tcBorders>
              <w:top w:val="single" w:color="000000" w:sz="4" w:space="0"/>
            </w:tcBorders>
            <w:shd w:val="clear" w:color="auto" w:fill="FFFFFF"/>
          </w:tcPr>
          <w:p w14:paraId="548A1C6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0.002072</w:t>
            </w:r>
          </w:p>
        </w:tc>
        <w:tc>
          <w:tcPr>
            <w:tcBorders>
              <w:top w:val="single" w:color="000000" w:sz="4" w:space="0"/>
            </w:tcBorders>
            <w:shd w:val="clear" w:color="auto" w:fill="FFFFFF"/>
          </w:tcPr>
          <w:p w14:paraId="1309B32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0.7255</w:t>
            </w:r>
          </w:p>
        </w:tc>
        <w:tc>
          <w:tcPr>
            <w:tcBorders>
              <w:top w:val="single" w:color="000000" w:sz="4" w:space="0"/>
            </w:tcBorders>
            <w:shd w:val="clear" w:color="auto" w:fill="FFFFFF"/>
          </w:tcPr>
          <w:p w14:paraId="1DBABDDA">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594,034</w:t>
            </w:r>
          </w:p>
        </w:tc>
      </w:tr>
      <w:tr w14:paraId="45EBB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shd w:val="clear" w:color="auto" w:fill="FFFFFF"/>
          </w:tcPr>
          <w:p w14:paraId="5B6ECB29">
            <w:pPr>
              <w:spacing w:after="0" w:line="240" w:lineRule="auto"/>
              <w:jc w:val="both"/>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qwen25_3b_hf_4bit</w:t>
            </w:r>
          </w:p>
        </w:tc>
        <w:tc>
          <w:tcPr>
            <w:shd w:val="clear" w:color="auto" w:fill="FFFFFF"/>
          </w:tcPr>
          <w:p w14:paraId="438D426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0.004843</w:t>
            </w:r>
          </w:p>
        </w:tc>
        <w:tc>
          <w:tcPr>
            <w:shd w:val="clear" w:color="auto" w:fill="FFFFFF"/>
          </w:tcPr>
          <w:p w14:paraId="116AB9D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1.0215</w:t>
            </w:r>
          </w:p>
        </w:tc>
        <w:tc>
          <w:tcPr>
            <w:shd w:val="clear" w:color="auto" w:fill="FFFFFF"/>
          </w:tcPr>
          <w:p w14:paraId="6C7D5AAA">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8,084</w:t>
            </w:r>
          </w:p>
        </w:tc>
      </w:tr>
      <w:tr w14:paraId="6B057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shd w:val="clear" w:color="auto" w:fill="FFFFFF"/>
          </w:tcPr>
          <w:p w14:paraId="0EEFEA53">
            <w:pPr>
              <w:spacing w:after="0" w:line="240" w:lineRule="auto"/>
              <w:jc w:val="both"/>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qwen25_7b_hf_4bit</w:t>
            </w:r>
          </w:p>
        </w:tc>
        <w:tc>
          <w:tcPr>
            <w:shd w:val="clear" w:color="auto" w:fill="FFFFFF"/>
          </w:tcPr>
          <w:p w14:paraId="1A0836C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0.004801</w:t>
            </w:r>
          </w:p>
        </w:tc>
        <w:tc>
          <w:tcPr>
            <w:shd w:val="clear" w:color="auto" w:fill="FFFFFF"/>
          </w:tcPr>
          <w:p w14:paraId="3D6A1F8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0.6893</w:t>
            </w:r>
          </w:p>
        </w:tc>
        <w:tc>
          <w:tcPr>
            <w:shd w:val="clear" w:color="auto" w:fill="FFFFFF"/>
          </w:tcPr>
          <w:p w14:paraId="16182EA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1,689</w:t>
            </w:r>
          </w:p>
        </w:tc>
      </w:tr>
      <w:tr w14:paraId="08695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bottom w:val="single" w:color="000000" w:sz="12" w:space="0"/>
            </w:tcBorders>
            <w:shd w:val="clear" w:color="auto" w:fill="FFFFFF"/>
          </w:tcPr>
          <w:p w14:paraId="5CEB5736">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w:t>
            </w:r>
          </w:p>
        </w:tc>
        <w:tc>
          <w:tcPr>
            <w:tcBorders>
              <w:bottom w:val="single" w:color="000000" w:sz="12" w:space="0"/>
            </w:tcBorders>
            <w:shd w:val="clear" w:color="auto" w:fill="FFFFFF"/>
          </w:tcPr>
          <w:p w14:paraId="0E1B37C7">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w:t>
            </w:r>
          </w:p>
        </w:tc>
        <w:tc>
          <w:tcPr>
            <w:tcBorders>
              <w:bottom w:val="single" w:color="000000" w:sz="12" w:space="0"/>
            </w:tcBorders>
            <w:shd w:val="clear" w:color="auto" w:fill="FFFFFF"/>
          </w:tcPr>
          <w:p w14:paraId="396CD12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w:t>
            </w:r>
          </w:p>
        </w:tc>
        <w:tc>
          <w:tcPr>
            <w:tcBorders>
              <w:bottom w:val="single" w:color="000000" w:sz="12" w:space="0"/>
            </w:tcBorders>
            <w:shd w:val="clear" w:color="auto" w:fill="FFFFFF"/>
          </w:tcPr>
          <w:p w14:paraId="6757A38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w:t>
            </w:r>
          </w:p>
        </w:tc>
      </w:tr>
    </w:tbl>
    <w:p w14:paraId="1C17BC61">
      <w:pPr>
        <w:spacing w:after="220"/>
        <w:rPr>
          <w:rFonts w:ascii="Times New Roman" w:hAnsi="Times New Roman" w:eastAsia="宋体" w:cs="Times New Roman"/>
          <w:b/>
          <w:sz w:val="24"/>
          <w:szCs w:val="24"/>
        </w:rPr>
      </w:pPr>
    </w:p>
    <w:p w14:paraId="03A2FE97">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这一发现具有重要实践意义：在预算有限且追求性价比时，应优先选择拐点模型 </w:t>
      </w:r>
      <w:r>
        <w:rPr>
          <w:rStyle w:val="12"/>
          <w:rFonts w:ascii="Times New Roman" w:hAnsi="Times New Roman" w:eastAsia="宋体" w:cs="Times New Roman"/>
          <w:sz w:val="24"/>
          <w:szCs w:val="24"/>
          <w:shd w:val="clear" w:color="auto" w:fill="F8F8FA"/>
        </w:rPr>
        <w:t>deepseek_8b_ol_q4km</w:t>
      </w:r>
      <w:r>
        <w:rPr>
          <w:rFonts w:ascii="Times New Roman" w:hAnsi="Times New Roman" w:eastAsia="宋体" w:cs="Times New Roman"/>
          <w:sz w:val="24"/>
          <w:szCs w:val="24"/>
        </w:rPr>
        <w:t>；若预算充足且需要极致质量，可在拐点之后继续增加投入，但需意识到边际收益递减。对于混合任务，拐点模型同样具有鲁棒性，进一步巩固了其作为“万金油”模型的价值。</w:t>
      </w:r>
    </w:p>
    <w:p w14:paraId="02F89D15">
      <w:pPr>
        <w:shd w:val="clear"/>
        <w:rPr>
          <w:rFonts w:hint="default" w:ascii="Times New Roman" w:hAnsi="Times New Roman" w:cs="Times New Roman"/>
          <w:lang w:val="en-US" w:eastAsia="zh-CN"/>
        </w:rPr>
      </w:pPr>
    </w:p>
    <w:p w14:paraId="72A155B4">
      <w:pPr>
        <w:pStyle w:val="2"/>
        <w:keepNext w:val="0"/>
        <w:keepLines w:val="0"/>
        <w:widowControl/>
        <w:suppressLineNumbers w:val="0"/>
        <w:shd w:val="clear"/>
        <w:rPr>
          <w:rFonts w:hint="eastAsia" w:ascii="Times New Roman" w:hAnsi="Times New Roman" w:cs="Times New Roman"/>
          <w:lang w:val="en-US" w:eastAsia="zh-CN"/>
        </w:rPr>
      </w:pPr>
      <w:r>
        <w:rPr>
          <w:rFonts w:hint="eastAsia" w:ascii="Times New Roman" w:hAnsi="Times New Roman" w:cs="Times New Roman"/>
          <w:lang w:val="en-US" w:eastAsia="zh-CN"/>
        </w:rPr>
        <w:t>6 结论与展望</w:t>
      </w:r>
    </w:p>
    <w:p w14:paraId="2B771E67">
      <w:pPr>
        <w:pStyle w:val="3"/>
        <w:shd w:val="clear"/>
        <w:bidi w:val="0"/>
        <w:rPr>
          <w:rFonts w:ascii="Times New Roman" w:hAnsi="Times New Roman" w:cs="Times New Roman"/>
        </w:rPr>
      </w:pPr>
      <w:r>
        <w:rPr>
          <w:rFonts w:hint="default" w:ascii="Times New Roman" w:hAnsi="Times New Roman" w:cs="Times New Roman"/>
        </w:rPr>
        <w:t>6.1 主要研究结论</w:t>
      </w:r>
    </w:p>
    <w:p w14:paraId="0F931B90">
      <w:pPr>
        <w:pStyle w:val="3"/>
        <w:shd w:val="clear"/>
        <w:bidi w:val="0"/>
        <w:rPr>
          <w:rFonts w:hint="default" w:ascii="Times New Roman" w:hAnsi="Times New Roman" w:cs="Times New Roman"/>
        </w:rPr>
      </w:pPr>
      <w:r>
        <w:rPr>
          <w:rFonts w:hint="default" w:ascii="Times New Roman" w:hAnsi="Times New Roman" w:cs="Times New Roman"/>
        </w:rPr>
        <w:t>6.2 研究贡献与创新点</w:t>
      </w:r>
    </w:p>
    <w:p w14:paraId="69CCF5D3">
      <w:pPr>
        <w:pStyle w:val="3"/>
        <w:shd w:val="clear"/>
        <w:bidi w:val="0"/>
        <w:rPr>
          <w:rFonts w:hint="default" w:ascii="Times New Roman" w:hAnsi="Times New Roman" w:cs="Times New Roman"/>
        </w:rPr>
      </w:pPr>
      <w:r>
        <w:rPr>
          <w:rFonts w:hint="default" w:ascii="Times New Roman" w:hAnsi="Times New Roman" w:cs="Times New Roman"/>
        </w:rPr>
        <w:t>6.3 研究局限性与未来工作</w:t>
      </w:r>
    </w:p>
    <w:p w14:paraId="39B96E16">
      <w:pPr>
        <w:pStyle w:val="2"/>
        <w:keepNext w:val="0"/>
        <w:keepLines w:val="0"/>
        <w:widowControl/>
        <w:suppressLineNumbers w:val="0"/>
        <w:shd w:val="clear"/>
        <w:rPr>
          <w:rFonts w:hint="eastAsia" w:ascii="Times New Roman" w:hAnsi="Times New Roman" w:cs="Times New Roman"/>
          <w:lang w:val="en-US" w:eastAsia="zh-CN"/>
        </w:rPr>
      </w:pPr>
    </w:p>
    <w:p w14:paraId="7C320D91">
      <w:pPr>
        <w:pStyle w:val="2"/>
        <w:keepNext w:val="0"/>
        <w:keepLines w:val="0"/>
        <w:widowControl/>
        <w:suppressLineNumbers w:val="0"/>
        <w:shd w:val="clear"/>
        <w:rPr>
          <w:rFonts w:hint="eastAsia" w:ascii="Times New Roman" w:hAnsi="Times New Roman" w:cs="Times New Roman"/>
          <w:lang w:val="en-US" w:eastAsia="zh-CN"/>
        </w:rPr>
      </w:pPr>
      <w:r>
        <w:rPr>
          <w:rFonts w:hint="eastAsia" w:ascii="Times New Roman" w:hAnsi="Times New Roman" w:cs="Times New Roman"/>
          <w:lang w:val="en-US" w:eastAsia="zh-CN"/>
        </w:rPr>
        <w:t>参考文献</w:t>
      </w:r>
    </w:p>
    <w:p w14:paraId="35AA909D">
      <w:pPr>
        <w:shd w:val="clear"/>
        <w:rPr>
          <w:rFonts w:ascii="Times New Roman" w:hAnsi="Times New Roman" w:cs="Times New Roman"/>
        </w:rPr>
      </w:pPr>
      <w:r>
        <w:rPr>
          <w:rFonts w:ascii="Times New Roman" w:hAnsi="Times New Roman" w:cs="Times New Roman"/>
        </w:rPr>
        <w:t>[1] Vaswani A. Attention Is All You Need. NeurIPS, 2017.</w:t>
      </w:r>
      <w:r>
        <w:rPr>
          <w:rFonts w:ascii="Times New Roman" w:hAnsi="Times New Roman" w:cs="Times New Roman"/>
        </w:rPr>
        <w:br w:type="textWrapping"/>
      </w:r>
      <w:r>
        <w:rPr>
          <w:rFonts w:ascii="Times New Roman" w:hAnsi="Times New Roman" w:cs="Times New Roman"/>
        </w:rPr>
        <w:t>[2] Brown T. Language Models are Few-Shot Learners. NeurIPS, 2020.</w:t>
      </w:r>
      <w:r>
        <w:rPr>
          <w:rFonts w:ascii="Times New Roman" w:hAnsi="Times New Roman" w:cs="Times New Roman"/>
        </w:rPr>
        <w:br w:type="textWrapping"/>
      </w:r>
      <w:r>
        <w:rPr>
          <w:rFonts w:ascii="Times New Roman" w:hAnsi="Times New Roman" w:cs="Times New Roman"/>
        </w:rPr>
        <w:t>[3] Devlin J. BERT: Pre-training of Deep Bidirectional Transformers. NAACL, 2019.</w:t>
      </w:r>
      <w:r>
        <w:rPr>
          <w:rFonts w:ascii="Times New Roman" w:hAnsi="Times New Roman" w:cs="Times New Roman"/>
        </w:rPr>
        <w:br w:type="textWrapping"/>
      </w:r>
      <w:r>
        <w:rPr>
          <w:rFonts w:ascii="Times New Roman" w:hAnsi="Times New Roman" w:cs="Times New Roman"/>
        </w:rPr>
        <w:t>[4] Touvron H. LLaMA: Open and Efficient Foundation Language Models. 2023.</w:t>
      </w:r>
      <w:r>
        <w:rPr>
          <w:rFonts w:ascii="Times New Roman" w:hAnsi="Times New Roman" w:cs="Times New Roman"/>
        </w:rPr>
        <w:br w:type="textWrapping"/>
      </w:r>
      <w:r>
        <w:rPr>
          <w:rFonts w:ascii="Times New Roman" w:hAnsi="Times New Roman" w:cs="Times New Roman"/>
        </w:rPr>
        <w:t>[5] Chowdhery A. PaLM: Scaling Language Modeling with Pathways. 2022.</w:t>
      </w:r>
      <w:r>
        <w:rPr>
          <w:rFonts w:ascii="Times New Roman" w:hAnsi="Times New Roman" w:cs="Times New Roman"/>
        </w:rPr>
        <w:br w:type="textWrapping"/>
      </w:r>
      <w:r>
        <w:rPr>
          <w:rFonts w:ascii="Times New Roman" w:hAnsi="Times New Roman" w:cs="Times New Roman"/>
        </w:rPr>
        <w:t>[6] Kaplan J. Scaling Laws for Neural Language Models. 2020.</w:t>
      </w:r>
      <w:r>
        <w:rPr>
          <w:rFonts w:ascii="Times New Roman" w:hAnsi="Times New Roman" w:cs="Times New Roman"/>
        </w:rPr>
        <w:br w:type="textWrapping"/>
      </w:r>
      <w:r>
        <w:rPr>
          <w:rFonts w:ascii="Times New Roman" w:hAnsi="Times New Roman" w:cs="Times New Roman"/>
        </w:rPr>
        <w:t>[7] Patterson D. Carbon Emissions and Large Neural Network Training. 2021.</w:t>
      </w:r>
      <w:r>
        <w:rPr>
          <w:rFonts w:ascii="Times New Roman" w:hAnsi="Times New Roman" w:cs="Times New Roman"/>
        </w:rPr>
        <w:br w:type="textWrapping"/>
      </w:r>
      <w:r>
        <w:rPr>
          <w:rFonts w:ascii="Times New Roman" w:hAnsi="Times New Roman" w:cs="Times New Roman"/>
        </w:rPr>
        <w:t>[8] Luccioni A. Estimating the Carbon Footprint of AI. 2023.</w:t>
      </w:r>
      <w:r>
        <w:rPr>
          <w:rFonts w:ascii="Times New Roman" w:hAnsi="Times New Roman" w:cs="Times New Roman"/>
        </w:rPr>
        <w:br w:type="textWrapping"/>
      </w:r>
      <w:r>
        <w:rPr>
          <w:rFonts w:ascii="Times New Roman" w:hAnsi="Times New Roman" w:cs="Times New Roman"/>
        </w:rPr>
        <w:t>[9] Bommasani R. On the Opportunities and Risks of Foundation Models. 2021.</w:t>
      </w:r>
      <w:r>
        <w:rPr>
          <w:rFonts w:ascii="Times New Roman" w:hAnsi="Times New Roman" w:cs="Times New Roman"/>
        </w:rPr>
        <w:br w:type="textWrapping"/>
      </w:r>
      <w:r>
        <w:rPr>
          <w:rFonts w:ascii="Times New Roman" w:hAnsi="Times New Roman" w:cs="Times New Roman"/>
        </w:rPr>
        <w:t>[10] Schwartz R. Green AI. Communications of the ACM, 2020.</w:t>
      </w:r>
      <w:r>
        <w:rPr>
          <w:rFonts w:ascii="Times New Roman" w:hAnsi="Times New Roman" w:cs="Times New Roman"/>
        </w:rPr>
        <w:br w:type="textWrapping"/>
      </w:r>
      <w:r>
        <w:rPr>
          <w:rFonts w:ascii="Times New Roman" w:hAnsi="Times New Roman" w:cs="Times New Roman"/>
        </w:rPr>
        <w:t>[11] Wang A. GLUE Benchmark. ICLR, 2018.</w:t>
      </w:r>
      <w:r>
        <w:rPr>
          <w:rFonts w:ascii="Times New Roman" w:hAnsi="Times New Roman" w:cs="Times New Roman"/>
        </w:rPr>
        <w:br w:type="textWrapping"/>
      </w:r>
      <w:r>
        <w:rPr>
          <w:rFonts w:ascii="Times New Roman" w:hAnsi="Times New Roman" w:cs="Times New Roman"/>
        </w:rPr>
        <w:t>[12] Wang A. SuperGLUE Benchmark. NeurIPS, 2019.</w:t>
      </w:r>
      <w:r>
        <w:rPr>
          <w:rFonts w:ascii="Times New Roman" w:hAnsi="Times New Roman" w:cs="Times New Roman"/>
        </w:rPr>
        <w:br w:type="textWrapping"/>
      </w:r>
      <w:r>
        <w:rPr>
          <w:rFonts w:ascii="Times New Roman" w:hAnsi="Times New Roman" w:cs="Times New Roman"/>
        </w:rPr>
        <w:t>[13] Hendrycks D. MMLU Benchmark. ICLR, 2021.</w:t>
      </w:r>
      <w:r>
        <w:rPr>
          <w:rFonts w:ascii="Times New Roman" w:hAnsi="Times New Roman" w:cs="Times New Roman"/>
        </w:rPr>
        <w:br w:type="textWrapping"/>
      </w:r>
      <w:r>
        <w:rPr>
          <w:rFonts w:ascii="Times New Roman" w:hAnsi="Times New Roman" w:cs="Times New Roman"/>
        </w:rPr>
        <w:t>[14] Liang P. Holistic Evaluation of Language Models. 2022.</w:t>
      </w:r>
      <w:r>
        <w:rPr>
          <w:rFonts w:ascii="Times New Roman" w:hAnsi="Times New Roman" w:cs="Times New Roman"/>
        </w:rPr>
        <w:br w:type="textWrapping"/>
      </w:r>
      <w:r>
        <w:rPr>
          <w:rFonts w:ascii="Times New Roman" w:hAnsi="Times New Roman" w:cs="Times New Roman"/>
        </w:rPr>
        <w:t>[15] Strubell E. Energy and Policy Considerations for Deep Learning in NLP. ACL, 2019.</w:t>
      </w:r>
      <w:r>
        <w:rPr>
          <w:rFonts w:ascii="Times New Roman" w:hAnsi="Times New Roman" w:cs="Times New Roman"/>
        </w:rPr>
        <w:br w:type="textWrapping"/>
      </w:r>
      <w:r>
        <w:rPr>
          <w:rFonts w:ascii="Times New Roman" w:hAnsi="Times New Roman" w:cs="Times New Roman"/>
        </w:rPr>
        <w:t>[16] Henderson P. Towards the Systematic Reporting of Energy Footprints. JMLR, 2020.</w:t>
      </w:r>
      <w:r>
        <w:rPr>
          <w:rFonts w:ascii="Times New Roman" w:hAnsi="Times New Roman" w:cs="Times New Roman"/>
        </w:rPr>
        <w:br w:type="textWrapping"/>
      </w:r>
      <w:r>
        <w:rPr>
          <w:rFonts w:ascii="Times New Roman" w:hAnsi="Times New Roman" w:cs="Times New Roman"/>
        </w:rPr>
        <w:t>[17] Jacob B. Quantization for Efficient Inference. CVPR, 2018.</w:t>
      </w:r>
      <w:r>
        <w:rPr>
          <w:rFonts w:ascii="Times New Roman" w:hAnsi="Times New Roman" w:cs="Times New Roman"/>
        </w:rPr>
        <w:br w:type="textWrapping"/>
      </w:r>
      <w:r>
        <w:rPr>
          <w:rFonts w:ascii="Times New Roman" w:hAnsi="Times New Roman" w:cs="Times New Roman"/>
        </w:rPr>
        <w:t>[18] Hinton G. Knowledge Distillation. 2015.</w:t>
      </w:r>
      <w:r>
        <w:rPr>
          <w:rFonts w:ascii="Times New Roman" w:hAnsi="Times New Roman" w:cs="Times New Roman"/>
        </w:rPr>
        <w:br w:type="textWrapping"/>
      </w:r>
      <w:r>
        <w:rPr>
          <w:rFonts w:ascii="Times New Roman" w:hAnsi="Times New Roman" w:cs="Times New Roman"/>
        </w:rPr>
        <w:t>[19] Han S. Deep Compression. ICLR, 2016.</w:t>
      </w:r>
      <w:r>
        <w:rPr>
          <w:rFonts w:ascii="Times New Roman" w:hAnsi="Times New Roman" w:cs="Times New Roman"/>
        </w:rPr>
        <w:br w:type="textWrapping"/>
      </w:r>
      <w:r>
        <w:rPr>
          <w:rFonts w:ascii="Times New Roman" w:hAnsi="Times New Roman" w:cs="Times New Roman"/>
        </w:rPr>
        <w:t>[20] Kwon W. vLLM: Efficient LLM Serving. SOSP, 2023.</w:t>
      </w:r>
      <w:r>
        <w:rPr>
          <w:rFonts w:ascii="Times New Roman" w:hAnsi="Times New Roman" w:cs="Times New Roman"/>
        </w:rPr>
        <w:br w:type="textWrapping"/>
      </w:r>
      <w:r>
        <w:rPr>
          <w:rFonts w:ascii="Times New Roman" w:hAnsi="Times New Roman" w:cs="Times New Roman"/>
        </w:rPr>
        <w:t>[21] NVIDIA. TensorRT-LLM Technical Report. 2023.</w:t>
      </w:r>
      <w:r>
        <w:rPr>
          <w:rFonts w:ascii="Times New Roman" w:hAnsi="Times New Roman" w:cs="Times New Roman"/>
        </w:rPr>
        <w:br w:type="textWrapping"/>
      </w:r>
      <w:r>
        <w:rPr>
          <w:rFonts w:ascii="Times New Roman" w:hAnsi="Times New Roman" w:cs="Times New Roman"/>
        </w:rPr>
        <w:t>[22] Jouppi N. TPU Architecture. ISCA, 2017.</w:t>
      </w:r>
      <w:r>
        <w:rPr>
          <w:rFonts w:ascii="Times New Roman" w:hAnsi="Times New Roman" w:cs="Times New Roman"/>
        </w:rPr>
        <w:br w:type="textWrapping"/>
      </w:r>
      <w:r>
        <w:rPr>
          <w:rFonts w:ascii="Times New Roman" w:hAnsi="Times New Roman" w:cs="Times New Roman"/>
        </w:rPr>
        <w:br w:type="textWrapping"/>
      </w: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Georgia">
    <w:panose1 w:val="02040502050405020303"/>
    <w:charset w:val="00"/>
    <w:family w:val="auto"/>
    <w:pitch w:val="default"/>
    <w:sig w:usb0="00000287" w:usb1="00000000" w:usb2="00000000" w:usb3="00000000" w:csb0="2000009F" w:csb1="00000000"/>
  </w:font>
  <w:font w:name="Calibri">
    <w:panose1 w:val="020F0502020204030204"/>
    <w:charset w:val="86"/>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singleLevel"/>
    <w:tmpl w:val="BF205925"/>
    <w:lvl w:ilvl="0" w:tentative="0">
      <w:start w:val="1"/>
      <w:numFmt w:val="bullet"/>
      <w:lvlText w:val=""/>
      <w:lvlJc w:val="left"/>
      <w:pPr>
        <w:tabs>
          <w:tab w:val="left" w:pos="1080"/>
        </w:tabs>
        <w:ind w:left="720" w:hanging="360"/>
      </w:pPr>
      <w:rPr>
        <w:rFonts w:hint="default" w:ascii="Symbol" w:hAnsi="Symbol"/>
      </w:rPr>
    </w:lvl>
  </w:abstractNum>
  <w:abstractNum w:abstractNumId="1">
    <w:nsid w:val="CF092B84"/>
    <w:multiLevelType w:val="singleLevel"/>
    <w:tmpl w:val="CF092B84"/>
    <w:lvl w:ilvl="0" w:tentative="0">
      <w:start w:val="1"/>
      <w:numFmt w:val="bullet"/>
      <w:lvlText w:val=""/>
      <w:lvlJc w:val="left"/>
      <w:pPr>
        <w:tabs>
          <w:tab w:val="left" w:pos="1080"/>
        </w:tabs>
        <w:ind w:left="720" w:hanging="360"/>
      </w:pPr>
      <w:rPr>
        <w:rFonts w:hint="default" w:ascii="Symbol" w:hAnsi="Symbol"/>
      </w:rPr>
    </w:lvl>
  </w:abstractNum>
  <w:abstractNum w:abstractNumId="2">
    <w:nsid w:val="0053208E"/>
    <w:multiLevelType w:val="singleLevel"/>
    <w:tmpl w:val="0053208E"/>
    <w:lvl w:ilvl="0" w:tentative="0">
      <w:start w:val="1"/>
      <w:numFmt w:val="bullet"/>
      <w:lvlText w:val=""/>
      <w:lvlJc w:val="left"/>
      <w:pPr>
        <w:tabs>
          <w:tab w:val="left" w:pos="1080"/>
        </w:tabs>
        <w:ind w:left="720" w:hanging="360"/>
      </w:pPr>
      <w:rPr>
        <w:rFonts w:hint="default" w:ascii="Symbol" w:hAnsi="Symbol"/>
      </w:rPr>
    </w:lvl>
  </w:abstractNum>
  <w:abstractNum w:abstractNumId="3">
    <w:nsid w:val="59ADCABA"/>
    <w:multiLevelType w:val="singleLevel"/>
    <w:tmpl w:val="59ADCABA"/>
    <w:lvl w:ilvl="0" w:tentative="0">
      <w:start w:val="1"/>
      <w:numFmt w:val="bullet"/>
      <w:lvlText w:val=""/>
      <w:lvlJc w:val="left"/>
      <w:pPr>
        <w:tabs>
          <w:tab w:val="left" w:pos="1080"/>
        </w:tabs>
        <w:ind w:left="720" w:hanging="360"/>
      </w:pPr>
      <w:rPr>
        <w:rFonts w:hint="default" w:ascii="Symbol" w:hAnsi="Symbol"/>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FB73C0"/>
    <w:rsid w:val="065F7A31"/>
    <w:rsid w:val="09E93CA4"/>
    <w:rsid w:val="09FF1932"/>
    <w:rsid w:val="0AFB6211"/>
    <w:rsid w:val="0BDF4286"/>
    <w:rsid w:val="0E17302F"/>
    <w:rsid w:val="0E5E57C3"/>
    <w:rsid w:val="12283471"/>
    <w:rsid w:val="138F0F48"/>
    <w:rsid w:val="15154D22"/>
    <w:rsid w:val="15400323"/>
    <w:rsid w:val="16190030"/>
    <w:rsid w:val="167F30CD"/>
    <w:rsid w:val="19ED659F"/>
    <w:rsid w:val="1AF26BB7"/>
    <w:rsid w:val="1F6E6A1B"/>
    <w:rsid w:val="1FC23AE2"/>
    <w:rsid w:val="1FD9754F"/>
    <w:rsid w:val="20863CB7"/>
    <w:rsid w:val="223C34B6"/>
    <w:rsid w:val="240A6030"/>
    <w:rsid w:val="24EE7CAF"/>
    <w:rsid w:val="25F27417"/>
    <w:rsid w:val="26C22583"/>
    <w:rsid w:val="27595274"/>
    <w:rsid w:val="28973DF2"/>
    <w:rsid w:val="2A66785E"/>
    <w:rsid w:val="2B4D3D5B"/>
    <w:rsid w:val="2CB97AED"/>
    <w:rsid w:val="2EB060C2"/>
    <w:rsid w:val="30C13C90"/>
    <w:rsid w:val="30D95414"/>
    <w:rsid w:val="314D62F2"/>
    <w:rsid w:val="36F558B9"/>
    <w:rsid w:val="37C464D4"/>
    <w:rsid w:val="3AE05E24"/>
    <w:rsid w:val="3E910041"/>
    <w:rsid w:val="404F780F"/>
    <w:rsid w:val="40CD2C3F"/>
    <w:rsid w:val="45D0687F"/>
    <w:rsid w:val="46B83C86"/>
    <w:rsid w:val="46E50C5D"/>
    <w:rsid w:val="4860425D"/>
    <w:rsid w:val="49A117B0"/>
    <w:rsid w:val="4CD63E9B"/>
    <w:rsid w:val="50316363"/>
    <w:rsid w:val="504023D9"/>
    <w:rsid w:val="50F7018A"/>
    <w:rsid w:val="526B5AC6"/>
    <w:rsid w:val="53F41D4A"/>
    <w:rsid w:val="53F80116"/>
    <w:rsid w:val="5A3D6C9C"/>
    <w:rsid w:val="5A7F3CF8"/>
    <w:rsid w:val="5C7B0963"/>
    <w:rsid w:val="5F337104"/>
    <w:rsid w:val="604E7E90"/>
    <w:rsid w:val="609E0F14"/>
    <w:rsid w:val="62DB2AED"/>
    <w:rsid w:val="66280004"/>
    <w:rsid w:val="67302D72"/>
    <w:rsid w:val="673E141B"/>
    <w:rsid w:val="69FD047A"/>
    <w:rsid w:val="6A63251A"/>
    <w:rsid w:val="6EA21A59"/>
    <w:rsid w:val="6F4F7D4D"/>
    <w:rsid w:val="73AB1F81"/>
    <w:rsid w:val="740E02D5"/>
    <w:rsid w:val="74A05D67"/>
    <w:rsid w:val="75B01D32"/>
    <w:rsid w:val="776D0BB8"/>
    <w:rsid w:val="7A8A161B"/>
    <w:rsid w:val="7AC7367E"/>
    <w:rsid w:val="7BFB73C0"/>
    <w:rsid w:val="7CD73DE6"/>
    <w:rsid w:val="7EBB44F8"/>
    <w:rsid w:val="7F533B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jc w:val="both"/>
    </w:pPr>
    <w:rPr>
      <w:rFonts w:ascii="Times New Roman" w:hAnsi="Times New Roman" w:eastAsia="宋体" w:cstheme="minorBidi"/>
      <w:kern w:val="2"/>
      <w:sz w:val="24"/>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table" w:styleId="7">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0"/>
    <w:rPr>
      <w:b/>
    </w:rPr>
  </w:style>
  <w:style w:type="character" w:styleId="10">
    <w:name w:val="HTML Code"/>
    <w:basedOn w:val="8"/>
    <w:qFormat/>
    <w:uiPriority w:val="0"/>
    <w:rPr>
      <w:rFonts w:ascii="Courier New" w:hAnsi="Courier New"/>
      <w:sz w:val="20"/>
    </w:rPr>
  </w:style>
  <w:style w:type="table" w:customStyle="1" w:styleId="11">
    <w:name w:val="Normal Grid"/>
    <w:basedOn w:val="6"/>
    <w:qFormat/>
    <w:uiPriority w:val="39"/>
    <w:pPr>
      <w:spacing w:after="0" w:line="240" w:lineRule="auto"/>
    </w:pPr>
    <w:tblPr>
      <w:tblCellMar>
        <w:top w:w="80" w:type="dxa"/>
        <w:left w:w="160" w:type="dxa"/>
        <w:bottom w:w="80" w:type="dxa"/>
        <w:right w:w="160" w:type="dxa"/>
      </w:tblCellMar>
    </w:tblPr>
  </w:style>
  <w:style w:type="character" w:customStyle="1" w:styleId="12">
    <w:name w:val="Verbatim Char"/>
    <w:qFormat/>
    <w:uiPriority w:val="0"/>
    <w:rPr>
      <w:rFonts w:ascii="Consolas" w:hAnsi="Consolas"/>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11353</Words>
  <Characters>16630</Characters>
  <Lines>0</Lines>
  <Paragraphs>0</Paragraphs>
  <TotalTime>0</TotalTime>
  <ScaleCrop>false</ScaleCrop>
  <LinksUpToDate>false</LinksUpToDate>
  <CharactersWithSpaces>17362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2026-03-09T04:39:00Z</dcterms:created>
  <dc:creator>陈锦文</dc:creator>
  <cp:lastModifiedBy>陈锦文</cp:lastModifiedBy>
  <dcterms:modified xsi:type="dcterms:W3CDTF">2026-03-11T11:35:10Z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63C7E0158DE246D0BD4A409759468216_11</vt:lpwstr>
  </property>
  <property fmtid="{D5CDD505-2E9C-101B-9397-08002B2CF9AE}" pid="4" name="KSOTemplateDocerSaveRecord">
    <vt:lpwstr>eyJoZGlkIjoiNjVjZmQyZTA5NThiODFlNzJlYjliOGM5NWNlYWViNDEiLCJ1c2VySWQiOiI4MDAyMjU5MzkifQ==</vt:lpwstr>
  </property>
</Properties>
</file>