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38DDC" w14:textId="77777777" w:rsidR="007E1EF9" w:rsidRDefault="007E1EF9"/>
    <w:sectPr w:rsidR="007E1EF9" w:rsidSect="008F3A8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89"/>
    <w:rsid w:val="007E1EF9"/>
    <w:rsid w:val="008F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25459"/>
  <w15:chartTrackingRefBased/>
  <w15:docId w15:val="{6D93DFD7-C480-4451-AC4B-93F7885C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>dynaMIPS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Pierre-Yves DE MULLENHEIM</dc:creator>
  <cp:keywords/>
  <dc:description/>
  <cp:lastModifiedBy>Pierre-Yves DE MULLENHEIM</cp:lastModifiedBy>
  <cp:revision>1</cp:revision>
  <dcterms:created xsi:type="dcterms:W3CDTF">2024-05-06T21:31:00Z</dcterms:created>
  <dcterms:modified xsi:type="dcterms:W3CDTF">2024-05-06T21:33:00Z</dcterms:modified>
</cp:coreProperties>
</file>