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91D" w:rsidRDefault="000E52D7">
      <w:pPr>
        <w:pStyle w:val="centerpar"/>
      </w:pPr>
      <w:r>
        <w:rPr>
          <w:b/>
          <w:sz w:val="20"/>
        </w:rPr>
        <w:t>Biographical Sketch</w:t>
      </w:r>
    </w:p>
    <w:p w:rsidR="003D291D" w:rsidRDefault="000E52D7">
      <w:pPr>
        <w:pStyle w:val="centerpar"/>
      </w:pPr>
      <w:r>
        <w:rPr>
          <w:sz w:val="20"/>
        </w:rPr>
        <w:t xml:space="preserve">Larry D. </w:t>
      </w:r>
      <w:proofErr w:type="spellStart"/>
      <w:r>
        <w:rPr>
          <w:sz w:val="20"/>
        </w:rPr>
        <w:t>Pyeatt</w:t>
      </w:r>
      <w:proofErr w:type="spellEnd"/>
    </w:p>
    <w:p w:rsidR="003D291D" w:rsidRDefault="000E52D7">
      <w:pPr>
        <w:pStyle w:val="centerpar"/>
      </w:pPr>
      <w:r>
        <w:rPr>
          <w:sz w:val="20"/>
        </w:rPr>
        <w:t>Associate Professor</w:t>
      </w:r>
    </w:p>
    <w:p w:rsidR="003D291D" w:rsidRDefault="000E52D7">
      <w:pPr>
        <w:pStyle w:val="centerpar"/>
      </w:pPr>
      <w:r>
        <w:rPr>
          <w:sz w:val="20"/>
        </w:rPr>
        <w:t>Department of Mathematics and Computer Science</w:t>
      </w:r>
    </w:p>
    <w:p w:rsidR="003D291D" w:rsidRDefault="000E52D7">
      <w:pPr>
        <w:pStyle w:val="centerpar"/>
      </w:pPr>
      <w:r>
        <w:rPr>
          <w:sz w:val="20"/>
        </w:rPr>
        <w:t>South Dakota School of Mines and Technology</w:t>
      </w:r>
    </w:p>
    <w:p w:rsidR="003D291D" w:rsidRDefault="000E52D7">
      <w:pPr>
        <w:pStyle w:val="centerpar"/>
      </w:pPr>
      <w:r>
        <w:rPr>
          <w:sz w:val="20"/>
        </w:rPr>
        <w:t>501 East Saint Joseph Street</w:t>
      </w:r>
    </w:p>
    <w:p w:rsidR="003D291D" w:rsidRDefault="000E52D7">
      <w:pPr>
        <w:pStyle w:val="centerpar"/>
      </w:pPr>
      <w:r>
        <w:rPr>
          <w:sz w:val="20"/>
        </w:rPr>
        <w:t xml:space="preserve">Rapid City, SD 57701-3995 </w:t>
      </w:r>
    </w:p>
    <w:p w:rsidR="003D291D" w:rsidRDefault="000E52D7">
      <w:pPr>
        <w:pStyle w:val="Heading3"/>
        <w:spacing w:before="120"/>
      </w:pPr>
      <w:r>
        <w:rPr>
          <w:sz w:val="20"/>
        </w:rPr>
        <w:t>A. PROFESSIONAL PREPARATION</w:t>
      </w:r>
    </w:p>
    <w:p w:rsidR="003D291D" w:rsidRDefault="003D291D">
      <w:pPr>
        <w:pStyle w:val="Heading3"/>
        <w:spacing w:before="60"/>
        <w:rPr>
          <w:sz w:val="20"/>
        </w:rPr>
      </w:pPr>
    </w:p>
    <w:tbl>
      <w:tblPr>
        <w:tblW w:w="10478" w:type="dxa"/>
        <w:tblBorders>
          <w:bottom w:val="single" w:sz="6" w:space="0" w:color="000001"/>
          <w:insideH w:val="single" w:sz="6" w:space="0" w:color="00000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9"/>
        <w:gridCol w:w="2362"/>
        <w:gridCol w:w="3777"/>
      </w:tblGrid>
      <w:tr w:rsidR="003D291D">
        <w:tc>
          <w:tcPr>
            <w:tcW w:w="4339" w:type="dxa"/>
            <w:tcBorders>
              <w:bottom w:val="single" w:sz="6" w:space="0" w:color="000001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College/University</w:t>
            </w:r>
          </w:p>
        </w:tc>
        <w:tc>
          <w:tcPr>
            <w:tcW w:w="2362" w:type="dxa"/>
            <w:tcBorders>
              <w:bottom w:val="single" w:sz="6" w:space="0" w:color="000001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Major</w:t>
            </w:r>
          </w:p>
        </w:tc>
        <w:tc>
          <w:tcPr>
            <w:tcW w:w="3777" w:type="dxa"/>
            <w:tcBorders>
              <w:bottom w:val="single" w:sz="6" w:space="0" w:color="000001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Degree and Year</w:t>
            </w:r>
          </w:p>
        </w:tc>
      </w:tr>
      <w:tr w:rsidR="003D291D" w:rsidTr="000E52D7">
        <w:tc>
          <w:tcPr>
            <w:tcW w:w="4339" w:type="dxa"/>
            <w:tcBorders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Texas Tech University</w:t>
            </w:r>
          </w:p>
        </w:tc>
        <w:tc>
          <w:tcPr>
            <w:tcW w:w="2362" w:type="dxa"/>
            <w:tcBorders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Computer Science</w:t>
            </w:r>
          </w:p>
        </w:tc>
        <w:tc>
          <w:tcPr>
            <w:tcW w:w="3777" w:type="dxa"/>
            <w:tcBorders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Bachelor of Science, 1988</w:t>
            </w:r>
          </w:p>
        </w:tc>
      </w:tr>
      <w:tr w:rsidR="003D291D" w:rsidTr="000E52D7">
        <w:tc>
          <w:tcPr>
            <w:tcW w:w="4339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bookmarkStart w:id="0" w:name="_GoBack"/>
            <w:bookmarkEnd w:id="0"/>
            <w:r>
              <w:rPr>
                <w:b/>
                <w:sz w:val="20"/>
              </w:rPr>
              <w:t>Texas Tech University</w:t>
            </w:r>
          </w:p>
        </w:tc>
        <w:tc>
          <w:tcPr>
            <w:tcW w:w="2362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Computer Science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Master of Science, 1991</w:t>
            </w:r>
          </w:p>
        </w:tc>
      </w:tr>
      <w:tr w:rsidR="003D291D" w:rsidTr="000E52D7">
        <w:tc>
          <w:tcPr>
            <w:tcW w:w="4339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Colorado State University</w:t>
            </w:r>
          </w:p>
        </w:tc>
        <w:tc>
          <w:tcPr>
            <w:tcW w:w="2362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Computer Science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 xml:space="preserve">Doctor of </w:t>
            </w:r>
            <w:proofErr w:type="spellStart"/>
            <w:r>
              <w:rPr>
                <w:b/>
                <w:sz w:val="20"/>
              </w:rPr>
              <w:t>Philisophy</w:t>
            </w:r>
            <w:proofErr w:type="spellEnd"/>
            <w:r>
              <w:rPr>
                <w:b/>
                <w:sz w:val="20"/>
              </w:rPr>
              <w:t>, 1999</w:t>
            </w:r>
          </w:p>
        </w:tc>
      </w:tr>
    </w:tbl>
    <w:p w:rsidR="003D291D" w:rsidRDefault="003D291D">
      <w:pPr>
        <w:pStyle w:val="Heading3"/>
        <w:spacing w:before="120"/>
        <w:rPr>
          <w:sz w:val="20"/>
        </w:rPr>
      </w:pPr>
    </w:p>
    <w:p w:rsidR="003D291D" w:rsidRDefault="000E52D7">
      <w:pPr>
        <w:pStyle w:val="Heading3"/>
        <w:spacing w:before="120"/>
      </w:pPr>
      <w:r>
        <w:rPr>
          <w:sz w:val="20"/>
        </w:rPr>
        <w:t xml:space="preserve">B. ACADEMIC/PROFESSIONAL </w:t>
      </w:r>
      <w:r>
        <w:rPr>
          <w:sz w:val="20"/>
        </w:rPr>
        <w:t>APPOINTMENTS</w:t>
      </w:r>
    </w:p>
    <w:p w:rsidR="003D291D" w:rsidRDefault="003D291D">
      <w:pPr>
        <w:pStyle w:val="Heading3"/>
        <w:spacing w:before="60"/>
        <w:rPr>
          <w:sz w:val="20"/>
        </w:rPr>
      </w:pPr>
    </w:p>
    <w:tbl>
      <w:tblPr>
        <w:tblW w:w="10478" w:type="dxa"/>
        <w:tblBorders>
          <w:bottom w:val="single" w:sz="6" w:space="0" w:color="000001"/>
          <w:insideH w:val="single" w:sz="6" w:space="0" w:color="00000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63"/>
        <w:gridCol w:w="4707"/>
        <w:gridCol w:w="1708"/>
      </w:tblGrid>
      <w:tr w:rsidR="003D291D">
        <w:tc>
          <w:tcPr>
            <w:tcW w:w="4063" w:type="dxa"/>
            <w:tcBorders>
              <w:bottom w:val="single" w:sz="6" w:space="0" w:color="000001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4707" w:type="dxa"/>
            <w:tcBorders>
              <w:bottom w:val="single" w:sz="6" w:space="0" w:color="000001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Employer</w:t>
            </w:r>
          </w:p>
        </w:tc>
        <w:tc>
          <w:tcPr>
            <w:tcW w:w="1708" w:type="dxa"/>
            <w:tcBorders>
              <w:bottom w:val="single" w:sz="6" w:space="0" w:color="000001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Dates</w:t>
            </w:r>
          </w:p>
        </w:tc>
      </w:tr>
      <w:tr w:rsidR="003D291D" w:rsidTr="000E52D7">
        <w:tc>
          <w:tcPr>
            <w:tcW w:w="4063" w:type="dxa"/>
            <w:tcBorders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Associate Professor</w:t>
            </w:r>
          </w:p>
        </w:tc>
        <w:tc>
          <w:tcPr>
            <w:tcW w:w="4707" w:type="dxa"/>
            <w:tcBorders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South Dakota School of Mines and Technology</w:t>
            </w:r>
          </w:p>
        </w:tc>
        <w:tc>
          <w:tcPr>
            <w:tcW w:w="1708" w:type="dxa"/>
            <w:tcBorders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8/2012–present</w:t>
            </w:r>
          </w:p>
        </w:tc>
      </w:tr>
      <w:tr w:rsidR="003D291D" w:rsidTr="000E52D7">
        <w:tc>
          <w:tcPr>
            <w:tcW w:w="4063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Associate Department Chair</w:t>
            </w:r>
          </w:p>
        </w:tc>
        <w:tc>
          <w:tcPr>
            <w:tcW w:w="4707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Texas Tech University at Abilene</w:t>
            </w:r>
          </w:p>
        </w:tc>
        <w:tc>
          <w:tcPr>
            <w:tcW w:w="1708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1/2008–7/2010</w:t>
            </w:r>
          </w:p>
        </w:tc>
      </w:tr>
      <w:tr w:rsidR="003D291D" w:rsidTr="000E52D7">
        <w:tc>
          <w:tcPr>
            <w:tcW w:w="4063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Associate Professor</w:t>
            </w:r>
          </w:p>
        </w:tc>
        <w:tc>
          <w:tcPr>
            <w:tcW w:w="4707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Texas Tech University</w:t>
            </w:r>
          </w:p>
        </w:tc>
        <w:tc>
          <w:tcPr>
            <w:tcW w:w="1708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1/2006–7/2012</w:t>
            </w:r>
          </w:p>
        </w:tc>
      </w:tr>
      <w:tr w:rsidR="003D291D" w:rsidTr="000E52D7">
        <w:tc>
          <w:tcPr>
            <w:tcW w:w="4063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Visiting Assistant Professor</w:t>
            </w:r>
          </w:p>
        </w:tc>
        <w:tc>
          <w:tcPr>
            <w:tcW w:w="4707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University of Missouri, Rolla</w:t>
            </w:r>
          </w:p>
        </w:tc>
        <w:tc>
          <w:tcPr>
            <w:tcW w:w="1708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1/2005–12/2005</w:t>
            </w:r>
          </w:p>
        </w:tc>
      </w:tr>
      <w:tr w:rsidR="003D291D" w:rsidTr="000E52D7">
        <w:tc>
          <w:tcPr>
            <w:tcW w:w="4063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Assistant Professor</w:t>
            </w:r>
          </w:p>
        </w:tc>
        <w:tc>
          <w:tcPr>
            <w:tcW w:w="4707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Texas Tech University</w:t>
            </w:r>
          </w:p>
        </w:tc>
        <w:tc>
          <w:tcPr>
            <w:tcW w:w="1708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9/1999–12/2004</w:t>
            </w:r>
          </w:p>
        </w:tc>
      </w:tr>
      <w:tr w:rsidR="003D291D" w:rsidTr="000E52D7">
        <w:tc>
          <w:tcPr>
            <w:tcW w:w="4063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Lecturer</w:t>
            </w:r>
          </w:p>
        </w:tc>
        <w:tc>
          <w:tcPr>
            <w:tcW w:w="4707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Colorado State University,</w:t>
            </w:r>
          </w:p>
        </w:tc>
        <w:tc>
          <w:tcPr>
            <w:tcW w:w="1708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9/1998–9/1999</w:t>
            </w:r>
          </w:p>
        </w:tc>
      </w:tr>
      <w:tr w:rsidR="003D291D" w:rsidTr="000E52D7">
        <w:tc>
          <w:tcPr>
            <w:tcW w:w="4063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Senior Information Systems Programmer</w:t>
            </w:r>
          </w:p>
        </w:tc>
        <w:tc>
          <w:tcPr>
            <w:tcW w:w="4707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Texaco Inc.</w:t>
            </w:r>
          </w:p>
        </w:tc>
        <w:tc>
          <w:tcPr>
            <w:tcW w:w="1708" w:type="dxa"/>
            <w:tcBorders>
              <w:top w:val="nil"/>
              <w:bottom w:val="nil"/>
            </w:tcBorders>
            <w:shd w:val="clear" w:color="auto" w:fill="auto"/>
          </w:tcPr>
          <w:p w:rsidR="003D291D" w:rsidRDefault="000E52D7">
            <w:pPr>
              <w:jc w:val="left"/>
            </w:pPr>
            <w:r>
              <w:rPr>
                <w:b/>
                <w:sz w:val="20"/>
              </w:rPr>
              <w:t>9/1991–9/1993</w:t>
            </w:r>
          </w:p>
        </w:tc>
      </w:tr>
    </w:tbl>
    <w:p w:rsidR="003D291D" w:rsidRDefault="003D291D">
      <w:pPr>
        <w:pStyle w:val="Heading3"/>
        <w:spacing w:before="120"/>
        <w:rPr>
          <w:sz w:val="20"/>
        </w:rPr>
      </w:pPr>
    </w:p>
    <w:p w:rsidR="003D291D" w:rsidRDefault="000E52D7">
      <w:pPr>
        <w:pStyle w:val="Heading3"/>
        <w:spacing w:before="120"/>
      </w:pPr>
      <w:r>
        <w:rPr>
          <w:sz w:val="20"/>
        </w:rPr>
        <w:t xml:space="preserve">C. </w:t>
      </w:r>
      <w:r>
        <w:rPr>
          <w:sz w:val="20"/>
        </w:rPr>
        <w:t>PUBLICATIONS</w:t>
      </w:r>
    </w:p>
    <w:p w:rsidR="003D291D" w:rsidRDefault="000E52D7">
      <w:pPr>
        <w:pStyle w:val="bibheading"/>
        <w:spacing w:before="120"/>
      </w:pPr>
      <w:r>
        <w:rPr>
          <w:sz w:val="20"/>
          <w:szCs w:val="20"/>
        </w:rPr>
        <w:t>Closely Related to Proposal</w:t>
      </w:r>
    </w:p>
    <w:p w:rsidR="003D291D" w:rsidRDefault="000E52D7">
      <w:r>
        <w:rPr>
          <w:sz w:val="20"/>
        </w:rPr>
        <w:t>[</w:t>
      </w:r>
      <w:bookmarkStart w:id="1" w:name="BIB_Caudle_Karlsson_Pyeatt_2014a"/>
      <w:bookmarkEnd w:id="1"/>
      <w:r>
        <w:rPr>
          <w:sz w:val="20"/>
        </w:rPr>
        <w:t>1]</w:t>
      </w:r>
      <w:r>
        <w:rPr>
          <w:sz w:val="20"/>
        </w:rPr>
        <w:tab/>
        <w:t xml:space="preserve">Kyle A. Caudle, Christer </w:t>
      </w:r>
      <w:proofErr w:type="spellStart"/>
      <w:r>
        <w:rPr>
          <w:sz w:val="20"/>
        </w:rPr>
        <w:t>Karlsson</w:t>
      </w:r>
      <w:proofErr w:type="spellEnd"/>
      <w:r>
        <w:rPr>
          <w:sz w:val="20"/>
        </w:rPr>
        <w:t xml:space="preserve">, and Larry D. </w:t>
      </w:r>
      <w:proofErr w:type="spellStart"/>
      <w:r>
        <w:rPr>
          <w:sz w:val="20"/>
        </w:rPr>
        <w:t>Pyeatt</w:t>
      </w:r>
      <w:proofErr w:type="spellEnd"/>
      <w:r>
        <w:rPr>
          <w:sz w:val="20"/>
        </w:rPr>
        <w:t xml:space="preserve">. Multivariate wavelet density estimation for streaming data: A parallel programming approach. In </w:t>
      </w:r>
      <w:r>
        <w:rPr>
          <w:i/>
          <w:sz w:val="20"/>
        </w:rPr>
        <w:t>JSM Proceedings, Statistical Computing Section</w:t>
      </w:r>
      <w:r>
        <w:rPr>
          <w:sz w:val="20"/>
        </w:rPr>
        <w:t>, Alexandria,</w:t>
      </w:r>
      <w:r>
        <w:rPr>
          <w:sz w:val="20"/>
        </w:rPr>
        <w:t xml:space="preserve"> VA, 2014. American Statistical Association.</w:t>
      </w:r>
    </w:p>
    <w:p w:rsidR="003D291D" w:rsidRDefault="000E52D7">
      <w:r>
        <w:rPr>
          <w:sz w:val="20"/>
        </w:rPr>
        <w:t>[</w:t>
      </w:r>
      <w:bookmarkStart w:id="2" w:name="BIB_Randrianasolo_Pyeatt_2014b"/>
      <w:bookmarkEnd w:id="2"/>
      <w:r>
        <w:rPr>
          <w:sz w:val="20"/>
        </w:rPr>
        <w:t>2]</w:t>
      </w:r>
      <w:r>
        <w:rPr>
          <w:sz w:val="20"/>
        </w:rPr>
        <w:tab/>
      </w:r>
      <w:proofErr w:type="spellStart"/>
      <w:r>
        <w:rPr>
          <w:sz w:val="20"/>
        </w:rPr>
        <w:t>Arisoa</w:t>
      </w:r>
      <w:proofErr w:type="spellEnd"/>
      <w:r>
        <w:rPr>
          <w:sz w:val="20"/>
        </w:rPr>
        <w:t xml:space="preserve"> S. </w:t>
      </w:r>
      <w:proofErr w:type="spellStart"/>
      <w:r>
        <w:rPr>
          <w:sz w:val="20"/>
        </w:rPr>
        <w:t>Randrianasolo</w:t>
      </w:r>
      <w:proofErr w:type="spellEnd"/>
      <w:r>
        <w:rPr>
          <w:sz w:val="20"/>
        </w:rPr>
        <w:t xml:space="preserve"> and Larry D. </w:t>
      </w:r>
      <w:proofErr w:type="spellStart"/>
      <w:r>
        <w:rPr>
          <w:sz w:val="20"/>
        </w:rPr>
        <w:t>Pyeatt</w:t>
      </w:r>
      <w:proofErr w:type="spellEnd"/>
      <w:r>
        <w:rPr>
          <w:sz w:val="20"/>
        </w:rPr>
        <w:t xml:space="preserve">. Q-learning: From computer network security to software security. In </w:t>
      </w:r>
      <w:r>
        <w:rPr>
          <w:i/>
          <w:sz w:val="20"/>
        </w:rPr>
        <w:t>Proceedings of the 13th International Conference on Machine Learning and Applications</w:t>
      </w:r>
      <w:r>
        <w:rPr>
          <w:sz w:val="20"/>
        </w:rPr>
        <w:t>, Detroit</w:t>
      </w:r>
      <w:r>
        <w:rPr>
          <w:sz w:val="20"/>
        </w:rPr>
        <w:t xml:space="preserve">, </w:t>
      </w:r>
      <w:proofErr w:type="spellStart"/>
      <w:r>
        <w:rPr>
          <w:sz w:val="20"/>
        </w:rPr>
        <w:t>Michegan</w:t>
      </w:r>
      <w:proofErr w:type="spellEnd"/>
      <w:r>
        <w:rPr>
          <w:sz w:val="20"/>
        </w:rPr>
        <w:t>, December 2014. IEEE, IEEE Press.</w:t>
      </w:r>
    </w:p>
    <w:p w:rsidR="003D291D" w:rsidRDefault="000E52D7">
      <w:r>
        <w:rPr>
          <w:sz w:val="20"/>
        </w:rPr>
        <w:t>[</w:t>
      </w:r>
      <w:bookmarkStart w:id="3" w:name="BIB_Randrianasolo_Pyeatt_2014a"/>
      <w:bookmarkEnd w:id="3"/>
      <w:r>
        <w:rPr>
          <w:sz w:val="20"/>
        </w:rPr>
        <w:t>3]</w:t>
      </w:r>
      <w:r>
        <w:rPr>
          <w:sz w:val="20"/>
        </w:rPr>
        <w:tab/>
      </w:r>
      <w:proofErr w:type="spellStart"/>
      <w:r>
        <w:rPr>
          <w:sz w:val="20"/>
        </w:rPr>
        <w:t>Arisoa</w:t>
      </w:r>
      <w:proofErr w:type="spellEnd"/>
      <w:r>
        <w:rPr>
          <w:sz w:val="20"/>
        </w:rPr>
        <w:t xml:space="preserve"> S. </w:t>
      </w:r>
      <w:proofErr w:type="spellStart"/>
      <w:r>
        <w:rPr>
          <w:sz w:val="20"/>
        </w:rPr>
        <w:t>Randrianasolo</w:t>
      </w:r>
      <w:proofErr w:type="spellEnd"/>
      <w:r>
        <w:rPr>
          <w:sz w:val="20"/>
        </w:rPr>
        <w:t xml:space="preserve"> and Larry D. </w:t>
      </w:r>
      <w:proofErr w:type="spellStart"/>
      <w:r>
        <w:rPr>
          <w:sz w:val="20"/>
        </w:rPr>
        <w:t>Pyeatt</w:t>
      </w:r>
      <w:proofErr w:type="spellEnd"/>
      <w:r>
        <w:rPr>
          <w:sz w:val="20"/>
        </w:rPr>
        <w:t xml:space="preserve">. A theoretical Q-Learning temporary security repair. In </w:t>
      </w:r>
      <w:r>
        <w:rPr>
          <w:i/>
          <w:sz w:val="20"/>
        </w:rPr>
        <w:t>Proceedings of the 2014 IEEE Symposium Series on Computational Intelligence</w:t>
      </w:r>
      <w:r>
        <w:rPr>
          <w:sz w:val="20"/>
        </w:rPr>
        <w:t>, Orlando, Florida, December 9–1</w:t>
      </w:r>
      <w:r>
        <w:rPr>
          <w:sz w:val="20"/>
        </w:rPr>
        <w:t>2 2014. IEEE, IEEE Press.</w:t>
      </w:r>
    </w:p>
    <w:p w:rsidR="003D291D" w:rsidRDefault="000E52D7">
      <w:r>
        <w:rPr>
          <w:sz w:val="20"/>
        </w:rPr>
        <w:t>[</w:t>
      </w:r>
      <w:bookmarkStart w:id="4" w:name="BIB_Randrianasolo_Pyeatt_2012a"/>
      <w:bookmarkEnd w:id="4"/>
      <w:r>
        <w:rPr>
          <w:sz w:val="20"/>
        </w:rPr>
        <w:t>4]</w:t>
      </w:r>
      <w:r>
        <w:rPr>
          <w:sz w:val="20"/>
        </w:rPr>
        <w:tab/>
      </w:r>
      <w:proofErr w:type="spellStart"/>
      <w:r>
        <w:rPr>
          <w:sz w:val="20"/>
        </w:rPr>
        <w:t>Arisoa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Randrianasolo</w:t>
      </w:r>
      <w:proofErr w:type="spellEnd"/>
      <w:r>
        <w:rPr>
          <w:sz w:val="20"/>
        </w:rPr>
        <w:t xml:space="preserve"> and Larry D. </w:t>
      </w:r>
      <w:proofErr w:type="spellStart"/>
      <w:r>
        <w:rPr>
          <w:sz w:val="20"/>
        </w:rPr>
        <w:t>Pyeatt</w:t>
      </w:r>
      <w:proofErr w:type="spellEnd"/>
      <w:r>
        <w:rPr>
          <w:sz w:val="20"/>
        </w:rPr>
        <w:t xml:space="preserve">. An artificial immune system based on Holland’s classifier as network intrusion detection. In </w:t>
      </w:r>
      <w:r>
        <w:rPr>
          <w:i/>
          <w:sz w:val="20"/>
        </w:rPr>
        <w:t>Proceedings of the 4th International Conference on Agents and Artificial Intelligence (ICAA</w:t>
      </w:r>
      <w:r>
        <w:rPr>
          <w:i/>
          <w:sz w:val="20"/>
        </w:rPr>
        <w:t>RT)</w:t>
      </w:r>
      <w:r>
        <w:rPr>
          <w:sz w:val="20"/>
        </w:rPr>
        <w:t xml:space="preserve">, </w:t>
      </w:r>
      <w:proofErr w:type="spellStart"/>
      <w:r>
        <w:rPr>
          <w:sz w:val="20"/>
        </w:rPr>
        <w:t>Valamoura</w:t>
      </w:r>
      <w:proofErr w:type="spellEnd"/>
      <w:r>
        <w:rPr>
          <w:sz w:val="20"/>
        </w:rPr>
        <w:t>, Algarve, Portugal, February 2012. Institute for Systems and Technologies of Information, Control and Communication (INSTICC).</w:t>
      </w:r>
    </w:p>
    <w:p w:rsidR="003D291D" w:rsidRDefault="000E52D7">
      <w:r>
        <w:rPr>
          <w:sz w:val="20"/>
        </w:rPr>
        <w:t>[</w:t>
      </w:r>
      <w:bookmarkStart w:id="5" w:name="BIB_Borera_Pyeatt_2011"/>
      <w:bookmarkEnd w:id="5"/>
      <w:r>
        <w:rPr>
          <w:sz w:val="20"/>
        </w:rPr>
        <w:t>5]</w:t>
      </w:r>
      <w:r>
        <w:rPr>
          <w:sz w:val="20"/>
        </w:rPr>
        <w:tab/>
        <w:t xml:space="preserve">Eddy C. </w:t>
      </w:r>
      <w:proofErr w:type="spellStart"/>
      <w:r>
        <w:rPr>
          <w:sz w:val="20"/>
        </w:rPr>
        <w:t>Borera</w:t>
      </w:r>
      <w:proofErr w:type="spellEnd"/>
      <w:r>
        <w:rPr>
          <w:sz w:val="20"/>
        </w:rPr>
        <w:t xml:space="preserve"> and Larry D. </w:t>
      </w:r>
      <w:proofErr w:type="spellStart"/>
      <w:r>
        <w:rPr>
          <w:sz w:val="20"/>
        </w:rPr>
        <w:t>Pyeatt</w:t>
      </w:r>
      <w:proofErr w:type="spellEnd"/>
      <w:r>
        <w:rPr>
          <w:sz w:val="20"/>
        </w:rPr>
        <w:t>. Offline policy optimization: Using online Monte Carlo simulation-based tec</w:t>
      </w:r>
      <w:r>
        <w:rPr>
          <w:sz w:val="20"/>
        </w:rPr>
        <w:t xml:space="preserve">hniques to deal with changes in dynamic environments. In </w:t>
      </w:r>
      <w:r>
        <w:rPr>
          <w:i/>
          <w:sz w:val="20"/>
        </w:rPr>
        <w:t>Proceedings on the IEEE International Conference on Intelligent Computing and Intelligent Systems (ICIS)</w:t>
      </w:r>
      <w:r>
        <w:rPr>
          <w:sz w:val="20"/>
        </w:rPr>
        <w:t>, Guangzhou, China, November 18–20 2011.</w:t>
      </w:r>
    </w:p>
    <w:p w:rsidR="003D291D" w:rsidRDefault="000E52D7">
      <w:pPr>
        <w:pStyle w:val="bibheading"/>
        <w:spacing w:before="120"/>
      </w:pPr>
      <w:r>
        <w:rPr>
          <w:sz w:val="20"/>
          <w:szCs w:val="20"/>
        </w:rPr>
        <w:t>Other Significant Publications</w:t>
      </w:r>
    </w:p>
    <w:p w:rsidR="003D291D" w:rsidRDefault="000E52D7">
      <w:r>
        <w:rPr>
          <w:sz w:val="20"/>
        </w:rPr>
        <w:t>[</w:t>
      </w:r>
      <w:bookmarkStart w:id="6" w:name="BIB_Moore_Pyeatt_2014"/>
      <w:bookmarkEnd w:id="6"/>
      <w:r>
        <w:rPr>
          <w:sz w:val="20"/>
        </w:rPr>
        <w:t>1]</w:t>
      </w:r>
      <w:r>
        <w:rPr>
          <w:sz w:val="20"/>
        </w:rPr>
        <w:tab/>
        <w:t>Brett L Moore, Larr</w:t>
      </w:r>
      <w:r>
        <w:rPr>
          <w:sz w:val="20"/>
        </w:rPr>
        <w:t xml:space="preserve">y D Pyeatt, </w:t>
      </w:r>
      <w:proofErr w:type="spellStart"/>
      <w:r>
        <w:rPr>
          <w:sz w:val="20"/>
        </w:rPr>
        <w:t>Vivekanand</w:t>
      </w:r>
      <w:proofErr w:type="spellEnd"/>
      <w:r>
        <w:rPr>
          <w:sz w:val="20"/>
        </w:rPr>
        <w:t xml:space="preserve"> Kulkarni, </w:t>
      </w:r>
      <w:proofErr w:type="spellStart"/>
      <w:r>
        <w:rPr>
          <w:sz w:val="20"/>
        </w:rPr>
        <w:t>Periklis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Panousis</w:t>
      </w:r>
      <w:proofErr w:type="spellEnd"/>
      <w:r>
        <w:rPr>
          <w:sz w:val="20"/>
        </w:rPr>
        <w:t xml:space="preserve">, Kevin </w:t>
      </w:r>
      <w:proofErr w:type="spellStart"/>
      <w:r>
        <w:rPr>
          <w:sz w:val="20"/>
        </w:rPr>
        <w:t>Padrez</w:t>
      </w:r>
      <w:proofErr w:type="spellEnd"/>
      <w:r>
        <w:rPr>
          <w:sz w:val="20"/>
        </w:rPr>
        <w:t xml:space="preserve">, and Anthony G </w:t>
      </w:r>
      <w:proofErr w:type="spellStart"/>
      <w:r>
        <w:rPr>
          <w:sz w:val="20"/>
        </w:rPr>
        <w:t>Doufas</w:t>
      </w:r>
      <w:proofErr w:type="spellEnd"/>
      <w:r>
        <w:rPr>
          <w:sz w:val="20"/>
        </w:rPr>
        <w:t xml:space="preserve">. Reinforcement learning for closed-loop </w:t>
      </w:r>
      <w:proofErr w:type="spellStart"/>
      <w:r>
        <w:rPr>
          <w:sz w:val="20"/>
        </w:rPr>
        <w:t>propofol</w:t>
      </w:r>
      <w:proofErr w:type="spellEnd"/>
      <w:r>
        <w:rPr>
          <w:sz w:val="20"/>
        </w:rPr>
        <w:t xml:space="preserve"> anesthesia: A study in human volunteers. </w:t>
      </w:r>
      <w:r>
        <w:rPr>
          <w:i/>
          <w:sz w:val="20"/>
        </w:rPr>
        <w:t>Journal of Machine Learning Research</w:t>
      </w:r>
      <w:r>
        <w:rPr>
          <w:sz w:val="20"/>
        </w:rPr>
        <w:t>, 15:655–696, 2014.</w:t>
      </w:r>
    </w:p>
    <w:p w:rsidR="003D291D" w:rsidRDefault="000E52D7">
      <w:r>
        <w:rPr>
          <w:sz w:val="20"/>
        </w:rPr>
        <w:t>[</w:t>
      </w:r>
      <w:bookmarkStart w:id="7" w:name="BIB_Randrianasolo_Pyeatt_2012b"/>
      <w:bookmarkEnd w:id="7"/>
      <w:r>
        <w:rPr>
          <w:sz w:val="20"/>
        </w:rPr>
        <w:t>2]</w:t>
      </w:r>
      <w:r>
        <w:rPr>
          <w:sz w:val="20"/>
        </w:rPr>
        <w:tab/>
      </w:r>
      <w:proofErr w:type="spellStart"/>
      <w:r>
        <w:rPr>
          <w:sz w:val="20"/>
        </w:rPr>
        <w:t>Arisoa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Randrianasolo</w:t>
      </w:r>
      <w:proofErr w:type="spellEnd"/>
      <w:r>
        <w:rPr>
          <w:sz w:val="20"/>
        </w:rPr>
        <w:t xml:space="preserve"> and Larry D. </w:t>
      </w:r>
      <w:proofErr w:type="spellStart"/>
      <w:r>
        <w:rPr>
          <w:sz w:val="20"/>
        </w:rPr>
        <w:t>Pyeatt</w:t>
      </w:r>
      <w:proofErr w:type="spellEnd"/>
      <w:r>
        <w:rPr>
          <w:sz w:val="20"/>
        </w:rPr>
        <w:t xml:space="preserve">. Using local regression in Monte Carlo search tree. In </w:t>
      </w:r>
      <w:r>
        <w:rPr>
          <w:i/>
          <w:sz w:val="20"/>
        </w:rPr>
        <w:t>Proceedings of the 4th International Conference on Agents and Artificial Intelligence (ICAART)</w:t>
      </w:r>
      <w:r>
        <w:rPr>
          <w:sz w:val="20"/>
        </w:rPr>
        <w:t xml:space="preserve">, </w:t>
      </w:r>
      <w:proofErr w:type="spellStart"/>
      <w:r>
        <w:rPr>
          <w:sz w:val="20"/>
        </w:rPr>
        <w:t>Valamoura</w:t>
      </w:r>
      <w:proofErr w:type="spellEnd"/>
      <w:r>
        <w:rPr>
          <w:sz w:val="20"/>
        </w:rPr>
        <w:t>, Algarve, Portugal, February 2012. Institute for Syste</w:t>
      </w:r>
      <w:r>
        <w:rPr>
          <w:sz w:val="20"/>
        </w:rPr>
        <w:t>ms and Technologies of Information, Control and Communication (INSTICC).</w:t>
      </w:r>
    </w:p>
    <w:p w:rsidR="003D291D" w:rsidRDefault="000E52D7">
      <w:r>
        <w:rPr>
          <w:sz w:val="20"/>
        </w:rPr>
        <w:lastRenderedPageBreak/>
        <w:t>[</w:t>
      </w:r>
      <w:bookmarkStart w:id="8" w:name="BIB_Borera_Moore_Doufas_Pyeat_2011"/>
      <w:bookmarkEnd w:id="8"/>
      <w:r>
        <w:rPr>
          <w:sz w:val="20"/>
        </w:rPr>
        <w:t>3]</w:t>
      </w:r>
      <w:r>
        <w:rPr>
          <w:sz w:val="20"/>
        </w:rPr>
        <w:tab/>
        <w:t xml:space="preserve">Eddy C. </w:t>
      </w:r>
      <w:proofErr w:type="spellStart"/>
      <w:r>
        <w:rPr>
          <w:sz w:val="20"/>
        </w:rPr>
        <w:t>Borera</w:t>
      </w:r>
      <w:proofErr w:type="spellEnd"/>
      <w:r>
        <w:rPr>
          <w:sz w:val="20"/>
        </w:rPr>
        <w:t xml:space="preserve">, Brett L. Moore, Anthony G. </w:t>
      </w:r>
      <w:proofErr w:type="spellStart"/>
      <w:r>
        <w:rPr>
          <w:sz w:val="20"/>
        </w:rPr>
        <w:t>Doufas</w:t>
      </w:r>
      <w:proofErr w:type="spellEnd"/>
      <w:r>
        <w:rPr>
          <w:sz w:val="20"/>
        </w:rPr>
        <w:t xml:space="preserve">, and Larry D. </w:t>
      </w:r>
      <w:proofErr w:type="spellStart"/>
      <w:r>
        <w:rPr>
          <w:sz w:val="20"/>
        </w:rPr>
        <w:t>Pyeatt</w:t>
      </w:r>
      <w:proofErr w:type="spellEnd"/>
      <w:r>
        <w:rPr>
          <w:sz w:val="20"/>
        </w:rPr>
        <w:t xml:space="preserve">. An adaptive neural network filter for improved patient state estimation in closed-loop anesthesia control. </w:t>
      </w:r>
      <w:r>
        <w:rPr>
          <w:sz w:val="20"/>
        </w:rPr>
        <w:t xml:space="preserve">In </w:t>
      </w:r>
      <w:r>
        <w:rPr>
          <w:i/>
          <w:sz w:val="20"/>
        </w:rPr>
        <w:t xml:space="preserve">Proceedings of the IEEE International Conference on Tools with Artificial </w:t>
      </w:r>
      <w:proofErr w:type="spellStart"/>
      <w:r>
        <w:rPr>
          <w:i/>
          <w:sz w:val="20"/>
        </w:rPr>
        <w:t>Inteligence</w:t>
      </w:r>
      <w:proofErr w:type="spellEnd"/>
      <w:r>
        <w:rPr>
          <w:i/>
          <w:sz w:val="20"/>
        </w:rPr>
        <w:t xml:space="preserve"> (ICTAI)</w:t>
      </w:r>
      <w:r>
        <w:rPr>
          <w:sz w:val="20"/>
        </w:rPr>
        <w:t>, Boca Raton, Florida, USA, November 7–9 2011.</w:t>
      </w:r>
    </w:p>
    <w:p w:rsidR="003D291D" w:rsidRDefault="000E52D7">
      <w:r>
        <w:rPr>
          <w:sz w:val="20"/>
        </w:rPr>
        <w:t>[</w:t>
      </w:r>
      <w:bookmarkStart w:id="9" w:name="BIB_randrianasolo_pyeatt_2011"/>
      <w:bookmarkEnd w:id="9"/>
      <w:r>
        <w:rPr>
          <w:sz w:val="20"/>
        </w:rPr>
        <w:t>4]</w:t>
      </w:r>
      <w:r>
        <w:rPr>
          <w:sz w:val="20"/>
        </w:rPr>
        <w:tab/>
      </w:r>
      <w:proofErr w:type="spellStart"/>
      <w:r>
        <w:rPr>
          <w:sz w:val="20"/>
        </w:rPr>
        <w:t>Arisoa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Randrianasolo</w:t>
      </w:r>
      <w:proofErr w:type="spellEnd"/>
      <w:r>
        <w:rPr>
          <w:sz w:val="20"/>
        </w:rPr>
        <w:t xml:space="preserve"> and Larry D. </w:t>
      </w:r>
      <w:proofErr w:type="spellStart"/>
      <w:r>
        <w:rPr>
          <w:sz w:val="20"/>
        </w:rPr>
        <w:t>Pyeatt</w:t>
      </w:r>
      <w:proofErr w:type="spellEnd"/>
      <w:r>
        <w:rPr>
          <w:sz w:val="20"/>
        </w:rPr>
        <w:t xml:space="preserve">. Applying context-based prediction in adversarial Watkins’ </w:t>
      </w:r>
      <w:proofErr w:type="gramStart"/>
      <w:r>
        <w:rPr>
          <w:i/>
          <w:sz w:val="20"/>
        </w:rPr>
        <w:t>Q</w:t>
      </w:r>
      <w:r>
        <w:rPr>
          <w:sz w:val="20"/>
        </w:rPr>
        <w:t>(</w:t>
      </w:r>
      <w:proofErr w:type="gramEnd"/>
      <w:r>
        <w:rPr>
          <w:sz w:val="20"/>
        </w:rPr>
        <w:t>λ) lear</w:t>
      </w:r>
      <w:r>
        <w:rPr>
          <w:sz w:val="20"/>
        </w:rPr>
        <w:t xml:space="preserve">ning. In </w:t>
      </w:r>
      <w:r>
        <w:rPr>
          <w:i/>
          <w:sz w:val="20"/>
        </w:rPr>
        <w:t>Proceedings of the 2011 International Conference on Artificial Intelligence, ICAI 2011</w:t>
      </w:r>
      <w:r>
        <w:rPr>
          <w:sz w:val="20"/>
        </w:rPr>
        <w:t>, Las Vegas, Nevada, July 2011. CSREA Press.</w:t>
      </w:r>
    </w:p>
    <w:p w:rsidR="003D291D" w:rsidRDefault="000E52D7">
      <w:r>
        <w:rPr>
          <w:sz w:val="20"/>
        </w:rPr>
        <w:t>[</w:t>
      </w:r>
      <w:bookmarkStart w:id="10" w:name="BIB_shukla_pyeatt_2011"/>
      <w:bookmarkEnd w:id="10"/>
      <w:r>
        <w:rPr>
          <w:sz w:val="20"/>
        </w:rPr>
        <w:t>5]</w:t>
      </w:r>
      <w:r>
        <w:rPr>
          <w:sz w:val="20"/>
        </w:rPr>
        <w:tab/>
      </w:r>
      <w:proofErr w:type="spellStart"/>
      <w:r>
        <w:rPr>
          <w:sz w:val="20"/>
        </w:rPr>
        <w:t>Shubham</w:t>
      </w:r>
      <w:proofErr w:type="spellEnd"/>
      <w:r>
        <w:rPr>
          <w:sz w:val="20"/>
        </w:rPr>
        <w:t xml:space="preserve"> Shukla and Larry D. </w:t>
      </w:r>
      <w:proofErr w:type="spellStart"/>
      <w:r>
        <w:rPr>
          <w:sz w:val="20"/>
        </w:rPr>
        <w:t>Pyeatt</w:t>
      </w:r>
      <w:proofErr w:type="spellEnd"/>
      <w:r>
        <w:rPr>
          <w:sz w:val="20"/>
        </w:rPr>
        <w:t xml:space="preserve">. A guided learning algorithm for solving traveling salesman problem. In </w:t>
      </w:r>
      <w:r>
        <w:rPr>
          <w:i/>
          <w:sz w:val="20"/>
        </w:rPr>
        <w:t>Proce</w:t>
      </w:r>
      <w:r>
        <w:rPr>
          <w:i/>
          <w:sz w:val="20"/>
        </w:rPr>
        <w:t>edings of the 2011 International Conference on Artificial Intelligence, ICAI 2011</w:t>
      </w:r>
      <w:r>
        <w:rPr>
          <w:sz w:val="20"/>
        </w:rPr>
        <w:t>, Las Vegas, Nevada, July 2011. CSREA Press.</w:t>
      </w:r>
    </w:p>
    <w:p w:rsidR="003D291D" w:rsidRDefault="000E52D7">
      <w:pPr>
        <w:pStyle w:val="Heading3"/>
        <w:spacing w:before="180"/>
      </w:pPr>
      <w:r>
        <w:rPr>
          <w:sz w:val="20"/>
        </w:rPr>
        <w:t>D. SYNERGISTIC ACTIVITIES</w:t>
      </w:r>
    </w:p>
    <w:p w:rsidR="003D291D" w:rsidRDefault="000E52D7">
      <w:pPr>
        <w:pStyle w:val="List"/>
        <w:spacing w:before="50"/>
        <w:ind w:hanging="300"/>
      </w:pPr>
      <w:r>
        <w:t>•</w:t>
      </w:r>
      <w:r>
        <w:tab/>
        <w:t>Developing Assembly Language course with hands-on use of the Raspberry Pi, a low-cost Linux based comp</w:t>
      </w:r>
      <w:r>
        <w:t xml:space="preserve">uter. </w:t>
      </w:r>
    </w:p>
    <w:p w:rsidR="003D291D" w:rsidRDefault="000E52D7">
      <w:pPr>
        <w:pStyle w:val="List"/>
        <w:spacing w:before="50"/>
        <w:ind w:hanging="300"/>
      </w:pPr>
      <w:r>
        <w:t>•</w:t>
      </w:r>
      <w:r>
        <w:tab/>
        <w:t xml:space="preserve">Under contract to publish Assembly Language textbook with Elsevier in 2015. </w:t>
      </w:r>
    </w:p>
    <w:p w:rsidR="003D291D" w:rsidRDefault="000E52D7">
      <w:pPr>
        <w:pStyle w:val="Heading3"/>
        <w:spacing w:before="180"/>
      </w:pPr>
      <w:r>
        <w:rPr>
          <w:sz w:val="20"/>
        </w:rPr>
        <w:t>E. COLLABORATORS AND OTHER AFFILIATIONS</w:t>
      </w:r>
    </w:p>
    <w:p w:rsidR="003D291D" w:rsidRDefault="000E52D7">
      <w:pPr>
        <w:pStyle w:val="Heading4"/>
        <w:spacing w:before="180"/>
      </w:pPr>
      <w:r>
        <w:rPr>
          <w:sz w:val="20"/>
        </w:rPr>
        <w:t>Collaborators and Co-Editors</w:t>
      </w:r>
    </w:p>
    <w:p w:rsidR="003D291D" w:rsidRDefault="000E52D7">
      <w:pPr>
        <w:spacing w:before="60"/>
      </w:pPr>
      <w:r>
        <w:rPr>
          <w:sz w:val="20"/>
        </w:rPr>
        <w:t xml:space="preserve">Eddy C. </w:t>
      </w:r>
      <w:proofErr w:type="spellStart"/>
      <w:r>
        <w:rPr>
          <w:sz w:val="20"/>
        </w:rPr>
        <w:t>Borera</w:t>
      </w:r>
      <w:proofErr w:type="spellEnd"/>
      <w:r>
        <w:rPr>
          <w:sz w:val="20"/>
        </w:rPr>
        <w:t xml:space="preserve"> (Lipscomb University), Anthony G. </w:t>
      </w:r>
      <w:proofErr w:type="spellStart"/>
      <w:r>
        <w:rPr>
          <w:sz w:val="20"/>
        </w:rPr>
        <w:t>Doufas</w:t>
      </w:r>
      <w:proofErr w:type="spellEnd"/>
      <w:r>
        <w:rPr>
          <w:sz w:val="20"/>
        </w:rPr>
        <w:t xml:space="preserve"> (Stanford University Medical Center), </w:t>
      </w:r>
      <w:proofErr w:type="spellStart"/>
      <w:r>
        <w:rPr>
          <w:sz w:val="20"/>
        </w:rPr>
        <w:t>Vivek</w:t>
      </w:r>
      <w:proofErr w:type="spellEnd"/>
      <w:r>
        <w:rPr>
          <w:sz w:val="20"/>
        </w:rPr>
        <w:t xml:space="preserve"> K</w:t>
      </w:r>
      <w:r>
        <w:rPr>
          <w:sz w:val="20"/>
        </w:rPr>
        <w:t xml:space="preserve">ulkarni (Stanford School of Medicine), Brett L. Moore (Kinetic Concepts, </w:t>
      </w:r>
      <w:proofErr w:type="spellStart"/>
      <w:r>
        <w:rPr>
          <w:sz w:val="20"/>
        </w:rPr>
        <w:t>Inc</w:t>
      </w:r>
      <w:proofErr w:type="spellEnd"/>
      <w:r>
        <w:rPr>
          <w:sz w:val="20"/>
        </w:rPr>
        <w:t xml:space="preserve">), Mahdi </w:t>
      </w:r>
      <w:proofErr w:type="spellStart"/>
      <w:r>
        <w:rPr>
          <w:sz w:val="20"/>
        </w:rPr>
        <w:t>Naser-Moghadasi</w:t>
      </w:r>
      <w:proofErr w:type="spellEnd"/>
      <w:r>
        <w:rPr>
          <w:sz w:val="20"/>
        </w:rPr>
        <w:t xml:space="preserve"> (American Airlines), </w:t>
      </w:r>
      <w:proofErr w:type="spellStart"/>
      <w:r>
        <w:rPr>
          <w:sz w:val="20"/>
        </w:rPr>
        <w:t>Periklis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Panousis</w:t>
      </w:r>
      <w:proofErr w:type="spellEnd"/>
      <w:r>
        <w:rPr>
          <w:sz w:val="20"/>
        </w:rPr>
        <w:t xml:space="preserve"> (Stanford University School of Medicine), </w:t>
      </w:r>
      <w:proofErr w:type="spellStart"/>
      <w:r>
        <w:rPr>
          <w:sz w:val="20"/>
        </w:rPr>
        <w:t>Arisoa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Randrianasolo</w:t>
      </w:r>
      <w:proofErr w:type="spellEnd"/>
      <w:r>
        <w:rPr>
          <w:sz w:val="20"/>
        </w:rPr>
        <w:t xml:space="preserve"> ( Lipscomb University), and </w:t>
      </w:r>
      <w:proofErr w:type="spellStart"/>
      <w:r>
        <w:rPr>
          <w:sz w:val="20"/>
        </w:rPr>
        <w:t>Shubham</w:t>
      </w:r>
      <w:proofErr w:type="spellEnd"/>
      <w:r>
        <w:rPr>
          <w:sz w:val="20"/>
        </w:rPr>
        <w:t xml:space="preserve"> Shukla (Amazon.co</w:t>
      </w:r>
      <w:r>
        <w:rPr>
          <w:sz w:val="20"/>
        </w:rPr>
        <w:t>m)</w:t>
      </w:r>
    </w:p>
    <w:p w:rsidR="003D291D" w:rsidRDefault="000E52D7">
      <w:pPr>
        <w:pStyle w:val="Heading4"/>
        <w:spacing w:before="120"/>
      </w:pPr>
      <w:r>
        <w:rPr>
          <w:sz w:val="20"/>
        </w:rPr>
        <w:t>Graduate Advisors and Postdoctoral Sponsors</w:t>
      </w:r>
    </w:p>
    <w:p w:rsidR="003D291D" w:rsidRDefault="000E52D7">
      <w:pPr>
        <w:spacing w:before="60"/>
      </w:pPr>
      <w:r>
        <w:rPr>
          <w:sz w:val="20"/>
        </w:rPr>
        <w:t xml:space="preserve">Adele E. Howe (Colorado State University) and William J. B. Oldham (Texas Tech </w:t>
      </w:r>
      <w:proofErr w:type="gramStart"/>
      <w:r>
        <w:rPr>
          <w:sz w:val="20"/>
        </w:rPr>
        <w:t>university</w:t>
      </w:r>
      <w:proofErr w:type="gramEnd"/>
      <w:r>
        <w:rPr>
          <w:sz w:val="20"/>
        </w:rPr>
        <w:t>)</w:t>
      </w:r>
    </w:p>
    <w:p w:rsidR="003D291D" w:rsidRDefault="000E52D7">
      <w:pPr>
        <w:pStyle w:val="Heading4"/>
        <w:spacing w:before="120"/>
      </w:pPr>
      <w:r>
        <w:rPr>
          <w:sz w:val="20"/>
        </w:rPr>
        <w:t>Thesis Advisor and Postgraduate-Scholar Sponsors</w:t>
      </w:r>
    </w:p>
    <w:p w:rsidR="003D291D" w:rsidRDefault="000E52D7">
      <w:pPr>
        <w:spacing w:before="60"/>
      </w:pPr>
      <w:r>
        <w:rPr>
          <w:sz w:val="20"/>
        </w:rPr>
        <w:t xml:space="preserve">Advised the following 17 graduate students: Tetsuya </w:t>
      </w:r>
      <w:proofErr w:type="spellStart"/>
      <w:r>
        <w:rPr>
          <w:sz w:val="20"/>
        </w:rPr>
        <w:t>Idota</w:t>
      </w:r>
      <w:proofErr w:type="spellEnd"/>
      <w:r>
        <w:rPr>
          <w:sz w:val="20"/>
        </w:rPr>
        <w:t xml:space="preserve"> (South Dako</w:t>
      </w:r>
      <w:r>
        <w:rPr>
          <w:sz w:val="20"/>
        </w:rPr>
        <w:t xml:space="preserve">ta School of Mines and Technology), Eddy C. </w:t>
      </w:r>
      <w:proofErr w:type="spellStart"/>
      <w:r>
        <w:rPr>
          <w:sz w:val="20"/>
        </w:rPr>
        <w:t>Borera</w:t>
      </w:r>
      <w:proofErr w:type="spellEnd"/>
      <w:r>
        <w:rPr>
          <w:sz w:val="20"/>
        </w:rPr>
        <w:t xml:space="preserve"> (Lipscomb University), Roger Coffey (Current affiliation unknown), Derik Dalton (Current affiliation unknown), </w:t>
      </w:r>
      <w:proofErr w:type="spellStart"/>
      <w:r>
        <w:rPr>
          <w:sz w:val="20"/>
        </w:rPr>
        <w:t>Bharani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Ellore</w:t>
      </w:r>
      <w:proofErr w:type="spellEnd"/>
      <w:r>
        <w:rPr>
          <w:sz w:val="20"/>
        </w:rPr>
        <w:t xml:space="preserve"> (Current affiliation unknown), Karan Gupta (Current affiliation unknown), Julia</w:t>
      </w:r>
      <w:r>
        <w:rPr>
          <w:sz w:val="20"/>
        </w:rPr>
        <w:t xml:space="preserve">n Hooker (Current affiliation unknown), </w:t>
      </w:r>
      <w:proofErr w:type="spellStart"/>
      <w:r>
        <w:rPr>
          <w:sz w:val="20"/>
        </w:rPr>
        <w:t>Srividya</w:t>
      </w:r>
      <w:proofErr w:type="spellEnd"/>
      <w:r>
        <w:rPr>
          <w:sz w:val="20"/>
        </w:rPr>
        <w:t xml:space="preserve"> Kona (Current affiliation unknown), </w:t>
      </w:r>
      <w:proofErr w:type="spellStart"/>
      <w:r>
        <w:rPr>
          <w:sz w:val="20"/>
        </w:rPr>
        <w:t>ChengCheng</w:t>
      </w:r>
      <w:proofErr w:type="spellEnd"/>
      <w:r>
        <w:rPr>
          <w:sz w:val="20"/>
        </w:rPr>
        <w:t xml:space="preserve"> Li (Current affiliation unknown), Brett L. Moore (Kinetic Concepts), </w:t>
      </w:r>
      <w:proofErr w:type="spellStart"/>
      <w:r>
        <w:rPr>
          <w:sz w:val="20"/>
        </w:rPr>
        <w:t>Inc</w:t>
      </w:r>
      <w:proofErr w:type="spellEnd"/>
      <w:r>
        <w:rPr>
          <w:sz w:val="20"/>
        </w:rPr>
        <w:t xml:space="preserve">), Mahdi </w:t>
      </w:r>
      <w:proofErr w:type="spellStart"/>
      <w:r>
        <w:rPr>
          <w:sz w:val="20"/>
        </w:rPr>
        <w:t>NaserMoghadasi</w:t>
      </w:r>
      <w:proofErr w:type="spellEnd"/>
      <w:r>
        <w:rPr>
          <w:sz w:val="20"/>
        </w:rPr>
        <w:t xml:space="preserve"> (American Airlines), Krishnan </w:t>
      </w:r>
      <w:proofErr w:type="spellStart"/>
      <w:r>
        <w:rPr>
          <w:sz w:val="20"/>
        </w:rPr>
        <w:t>Pazhayanoor</w:t>
      </w:r>
      <w:proofErr w:type="spellEnd"/>
      <w:r>
        <w:rPr>
          <w:sz w:val="20"/>
        </w:rPr>
        <w:t xml:space="preserve"> (Current affiliation u</w:t>
      </w:r>
      <w:r>
        <w:rPr>
          <w:sz w:val="20"/>
        </w:rPr>
        <w:t xml:space="preserve">nknown), Todd </w:t>
      </w:r>
      <w:proofErr w:type="spellStart"/>
      <w:r>
        <w:rPr>
          <w:sz w:val="20"/>
        </w:rPr>
        <w:t>Quasny</w:t>
      </w:r>
      <w:proofErr w:type="spellEnd"/>
      <w:r>
        <w:rPr>
          <w:sz w:val="20"/>
        </w:rPr>
        <w:t xml:space="preserve"> (NASA), </w:t>
      </w:r>
      <w:proofErr w:type="spellStart"/>
      <w:r>
        <w:rPr>
          <w:sz w:val="20"/>
        </w:rPr>
        <w:t>Arisoa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Randrianasolo</w:t>
      </w:r>
      <w:proofErr w:type="spellEnd"/>
      <w:r>
        <w:rPr>
          <w:sz w:val="20"/>
        </w:rPr>
        <w:t xml:space="preserve"> (Lipscomb University), </w:t>
      </w:r>
      <w:proofErr w:type="spellStart"/>
      <w:r>
        <w:rPr>
          <w:sz w:val="20"/>
        </w:rPr>
        <w:t>Shubham</w:t>
      </w:r>
      <w:proofErr w:type="spellEnd"/>
      <w:r>
        <w:rPr>
          <w:sz w:val="20"/>
        </w:rPr>
        <w:t xml:space="preserve"> Shukla (Amazon.com), and Amit Yadav (Current affiliation unknown). Nguyen Bach (Current affiliation unknown), Ajay Bansal (Current affiliation unknown),</w:t>
      </w:r>
    </w:p>
    <w:sectPr w:rsidR="003D291D">
      <w:headerReference w:type="default" r:id="rId6"/>
      <w:footerReference w:type="default" r:id="rId7"/>
      <w:pgSz w:w="12280" w:h="15900"/>
      <w:pgMar w:top="1079" w:right="903" w:bottom="777" w:left="898" w:header="72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E52D7">
      <w:r>
        <w:separator/>
      </w:r>
    </w:p>
  </w:endnote>
  <w:endnote w:type="continuationSeparator" w:id="0">
    <w:p w:rsidR="00000000" w:rsidRDefault="000E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91D" w:rsidRDefault="000E52D7">
    <w:pPr>
      <w:tabs>
        <w:tab w:val="center" w:pos="5239"/>
        <w:tab w:val="right" w:pos="10479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E52D7">
      <w:r>
        <w:separator/>
      </w:r>
    </w:p>
  </w:footnote>
  <w:footnote w:type="continuationSeparator" w:id="0">
    <w:p w:rsidR="00000000" w:rsidRDefault="000E5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91D" w:rsidRDefault="003D291D">
    <w:pPr>
      <w:tabs>
        <w:tab w:val="center" w:pos="5239"/>
        <w:tab w:val="right" w:pos="1047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291D"/>
    <w:rsid w:val="000E52D7"/>
    <w:rsid w:val="003D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E7F2BF-6D2C-451C-8203-A3809ED6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jc w:val="both"/>
    </w:pPr>
    <w:rPr>
      <w:rFonts w:ascii="Times New Roman" w:eastAsia="Arial" w:hAnsi="Times New Roman" w:cs="Courier New"/>
      <w:sz w:val="22"/>
    </w:rPr>
  </w:style>
  <w:style w:type="paragraph" w:styleId="Heading1">
    <w:name w:val="heading 1"/>
    <w:basedOn w:val="Normal"/>
    <w:pPr>
      <w:keepNext/>
      <w:spacing w:before="240" w:after="120"/>
      <w:jc w:val="left"/>
      <w:outlineLvl w:val="0"/>
    </w:pPr>
    <w:rPr>
      <w:b/>
      <w:sz w:val="40"/>
    </w:rPr>
  </w:style>
  <w:style w:type="paragraph" w:styleId="Heading2">
    <w:name w:val="heading 2"/>
    <w:basedOn w:val="Normal"/>
    <w:pPr>
      <w:keepNext/>
      <w:spacing w:before="240" w:after="120"/>
      <w:jc w:val="left"/>
      <w:outlineLvl w:val="1"/>
    </w:pPr>
    <w:rPr>
      <w:b/>
      <w:sz w:val="32"/>
    </w:rPr>
  </w:style>
  <w:style w:type="paragraph" w:styleId="Heading3">
    <w:name w:val="heading 3"/>
    <w:basedOn w:val="Normal"/>
    <w:pPr>
      <w:keepNext/>
      <w:spacing w:before="240" w:after="120"/>
      <w:jc w:val="left"/>
      <w:outlineLvl w:val="2"/>
    </w:pPr>
    <w:rPr>
      <w:b/>
      <w:sz w:val="32"/>
    </w:rPr>
  </w:style>
  <w:style w:type="paragraph" w:styleId="Heading4">
    <w:name w:val="heading 4"/>
    <w:basedOn w:val="Normal"/>
    <w:pPr>
      <w:keepNext/>
      <w:spacing w:before="240" w:after="120"/>
      <w:jc w:val="left"/>
      <w:outlineLvl w:val="3"/>
    </w:pPr>
    <w:rPr>
      <w:b/>
      <w:sz w:val="24"/>
    </w:rPr>
  </w:style>
  <w:style w:type="paragraph" w:styleId="Heading5">
    <w:name w:val="heading 5"/>
    <w:basedOn w:val="Normal"/>
    <w:pPr>
      <w:keepNext/>
      <w:spacing w:before="240" w:after="120"/>
      <w:jc w:val="left"/>
      <w:outlineLvl w:val="4"/>
    </w:pPr>
    <w:rPr>
      <w:b/>
      <w:sz w:val="24"/>
    </w:rPr>
  </w:style>
  <w:style w:type="paragraph" w:styleId="Heading6">
    <w:name w:val="heading 6"/>
    <w:basedOn w:val="Normal"/>
    <w:pPr>
      <w:keepNext/>
      <w:spacing w:before="240" w:after="120"/>
      <w:jc w:val="left"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Normal"/>
    <w:pPr>
      <w:tabs>
        <w:tab w:val="left" w:pos="283"/>
      </w:tabs>
      <w:spacing w:after="120"/>
      <w:ind w:left="283" w:hanging="283"/>
      <w:jc w:val="left"/>
    </w:pPr>
    <w:rPr>
      <w:rFonts w:cs="FreeSans"/>
      <w:sz w:val="20"/>
    </w:rPr>
  </w:style>
  <w:style w:type="paragraph" w:styleId="Caption">
    <w:name w:val="caption"/>
    <w:basedOn w:val="Normal"/>
    <w:pPr>
      <w:keepLines/>
      <w:spacing w:before="120" w:after="120"/>
      <w:jc w:val="left"/>
    </w:p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Part">
    <w:name w:val="Part"/>
    <w:basedOn w:val="Normal"/>
    <w:pPr>
      <w:keepNext/>
      <w:spacing w:before="240" w:after="120"/>
      <w:jc w:val="center"/>
    </w:pPr>
    <w:rPr>
      <w:b/>
      <w:sz w:val="40"/>
    </w:rPr>
  </w:style>
  <w:style w:type="paragraph" w:customStyle="1" w:styleId="rightpar">
    <w:name w:val="rightpar"/>
    <w:basedOn w:val="Normal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pPr>
      <w:keepLines/>
      <w:spacing w:before="120" w:after="120"/>
      <w:jc w:val="left"/>
    </w:pPr>
  </w:style>
  <w:style w:type="paragraph" w:customStyle="1" w:styleId="theorem">
    <w:name w:val="theorem"/>
    <w:basedOn w:val="Normal"/>
    <w:pPr>
      <w:keepLines/>
      <w:spacing w:before="120" w:after="120"/>
      <w:jc w:val="left"/>
    </w:pPr>
    <w:rPr>
      <w:sz w:val="20"/>
    </w:rPr>
  </w:style>
  <w:style w:type="paragraph" w:customStyle="1" w:styleId="bitmapCenter">
    <w:name w:val="bitmapCenter"/>
    <w:basedOn w:val="Normal"/>
    <w:pPr>
      <w:keepLines/>
      <w:spacing w:before="120" w:after="120"/>
      <w:jc w:val="left"/>
    </w:pPr>
  </w:style>
  <w:style w:type="paragraph" w:styleId="Title">
    <w:name w:val="Title"/>
    <w:basedOn w:val="Normal"/>
    <w:pPr>
      <w:spacing w:before="240" w:after="240"/>
      <w:jc w:val="center"/>
    </w:pPr>
    <w:rPr>
      <w:b/>
      <w:sz w:val="36"/>
    </w:rPr>
  </w:style>
  <w:style w:type="paragraph" w:customStyle="1" w:styleId="author">
    <w:name w:val="author"/>
    <w:basedOn w:val="Normal"/>
    <w:pPr>
      <w:spacing w:after="120"/>
      <w:jc w:val="center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jc w:val="left"/>
    </w:pPr>
    <w:rPr>
      <w:sz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jc w:val="left"/>
    </w:pPr>
    <w:rPr>
      <w:sz w:val="20"/>
    </w:rPr>
  </w:style>
  <w:style w:type="paragraph" w:customStyle="1" w:styleId="Figure">
    <w:name w:val="Figure"/>
    <w:basedOn w:val="Normal"/>
    <w:pPr>
      <w:keepLines/>
      <w:spacing w:before="120"/>
      <w:jc w:val="center"/>
    </w:pPr>
    <w:rPr>
      <w:sz w:val="20"/>
    </w:rPr>
  </w:style>
  <w:style w:type="paragraph" w:customStyle="1" w:styleId="Table">
    <w:name w:val="Table"/>
    <w:basedOn w:val="Normal"/>
    <w:pPr>
      <w:keepLines/>
      <w:spacing w:before="120"/>
      <w:jc w:val="center"/>
    </w:pPr>
    <w:rPr>
      <w:sz w:val="20"/>
    </w:rPr>
  </w:style>
  <w:style w:type="paragraph" w:customStyle="1" w:styleId="Tabular">
    <w:name w:val="Tabular"/>
    <w:basedOn w:val="Normal"/>
    <w:pPr>
      <w:keepLines/>
      <w:spacing w:before="120"/>
      <w:jc w:val="center"/>
    </w:pPr>
    <w:rPr>
      <w:sz w:val="20"/>
    </w:rPr>
  </w:style>
  <w:style w:type="paragraph" w:customStyle="1" w:styleId="Tabbing">
    <w:name w:val="Tabbing"/>
    <w:basedOn w:val="Normal"/>
    <w:pPr>
      <w:keepLines/>
      <w:spacing w:before="120"/>
      <w:jc w:val="center"/>
    </w:pPr>
    <w:rPr>
      <w:sz w:val="20"/>
    </w:rPr>
  </w:style>
  <w:style w:type="paragraph" w:styleId="Quote">
    <w:name w:val="Quote"/>
    <w:basedOn w:val="Normal"/>
    <w:pPr>
      <w:ind w:left="1024" w:right="1024" w:firstLine="340"/>
    </w:pPr>
    <w:rPr>
      <w:sz w:val="20"/>
    </w:rPr>
  </w:style>
  <w:style w:type="paragraph" w:customStyle="1" w:styleId="verbatim">
    <w:name w:val="verbatim"/>
    <w:pPr>
      <w:suppressAutoHyphens/>
    </w:pPr>
    <w:rPr>
      <w:rFonts w:ascii="Courier New" w:eastAsia="Arial" w:hAnsi="Courier New" w:cs="Courier New"/>
      <w:sz w:val="22"/>
    </w:rPr>
  </w:style>
  <w:style w:type="paragraph" w:customStyle="1" w:styleId="List1">
    <w:name w:val="List 1"/>
    <w:basedOn w:val="Normal"/>
    <w:pPr>
      <w:tabs>
        <w:tab w:val="left" w:pos="283"/>
      </w:tabs>
      <w:spacing w:after="120"/>
      <w:ind w:left="283" w:hanging="283"/>
      <w:jc w:val="left"/>
    </w:pPr>
    <w:rPr>
      <w:sz w:val="20"/>
    </w:rPr>
  </w:style>
  <w:style w:type="paragraph" w:customStyle="1" w:styleId="latexpicture">
    <w:name w:val="latex picture"/>
    <w:basedOn w:val="Normal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pPr>
      <w:keepNext/>
      <w:spacing w:before="240" w:after="120"/>
      <w:jc w:val="left"/>
    </w:pPr>
    <w:rPr>
      <w:b/>
      <w:sz w:val="32"/>
    </w:rPr>
  </w:style>
  <w:style w:type="paragraph" w:customStyle="1" w:styleId="bibitem">
    <w:name w:val="bibitem"/>
    <w:basedOn w:val="Normal"/>
    <w:pPr>
      <w:ind w:left="567" w:hanging="567"/>
      <w:jc w:val="left"/>
    </w:pPr>
    <w:rPr>
      <w:sz w:val="20"/>
    </w:rPr>
  </w:style>
  <w:style w:type="paragraph" w:customStyle="1" w:styleId="endnotes">
    <w:name w:val="endnotes"/>
    <w:basedOn w:val="Normal"/>
    <w:pPr>
      <w:tabs>
        <w:tab w:val="left" w:pos="283"/>
      </w:tabs>
      <w:spacing w:after="120"/>
      <w:ind w:left="283" w:hanging="283"/>
      <w:jc w:val="left"/>
    </w:pPr>
    <w:rPr>
      <w:sz w:val="20"/>
    </w:rPr>
  </w:style>
  <w:style w:type="paragraph" w:styleId="FootnoteText">
    <w:name w:val="footnote text"/>
    <w:basedOn w:val="Normal"/>
    <w:pPr>
      <w:ind w:left="397" w:hanging="113"/>
      <w:jc w:val="left"/>
    </w:pPr>
  </w:style>
  <w:style w:type="paragraph" w:styleId="EndnoteText">
    <w:name w:val="endnote text"/>
    <w:basedOn w:val="Normal"/>
    <w:pPr>
      <w:ind w:left="454" w:hanging="170"/>
    </w:pPr>
  </w:style>
  <w:style w:type="paragraph" w:customStyle="1" w:styleId="acronym">
    <w:name w:val="acronym"/>
    <w:basedOn w:val="Normal"/>
    <w:pPr>
      <w:keepNext/>
      <w:spacing w:before="60" w:after="60"/>
      <w:jc w:val="left"/>
    </w:pPr>
  </w:style>
  <w:style w:type="paragraph" w:customStyle="1" w:styleId="abstracttitle">
    <w:name w:val="abstract title"/>
    <w:basedOn w:val="Normal"/>
    <w:pPr>
      <w:spacing w:after="120"/>
      <w:jc w:val="center"/>
    </w:pPr>
    <w:rPr>
      <w:b/>
    </w:rPr>
  </w:style>
  <w:style w:type="paragraph" w:customStyle="1" w:styleId="abstract">
    <w:name w:val="abstract"/>
    <w:basedOn w:val="Normal"/>
    <w:pPr>
      <w:ind w:left="1024" w:right="1024" w:firstLine="340"/>
    </w:pPr>
  </w:style>
  <w:style w:type="paragraph" w:customStyle="1" w:styleId="contentsheading">
    <w:name w:val="contents_heading"/>
    <w:basedOn w:val="Normal"/>
    <w:pPr>
      <w:keepNext/>
      <w:spacing w:before="240" w:after="120"/>
      <w:jc w:val="left"/>
    </w:pPr>
    <w:rPr>
      <w:b/>
      <w:sz w:val="20"/>
    </w:rPr>
  </w:style>
  <w:style w:type="paragraph" w:customStyle="1" w:styleId="Contents1">
    <w:name w:val="Contents 1"/>
    <w:basedOn w:val="Normal"/>
    <w:pPr>
      <w:keepNext/>
      <w:tabs>
        <w:tab w:val="right" w:leader="dot" w:pos="8222"/>
      </w:tabs>
      <w:spacing w:before="240" w:after="60"/>
      <w:ind w:left="425"/>
      <w:jc w:val="left"/>
    </w:pPr>
    <w:rPr>
      <w:b/>
    </w:rPr>
  </w:style>
  <w:style w:type="paragraph" w:customStyle="1" w:styleId="Contents2">
    <w:name w:val="Contents 2"/>
    <w:basedOn w:val="Normal"/>
    <w:pPr>
      <w:keepNext/>
      <w:tabs>
        <w:tab w:val="right" w:leader="dot" w:pos="8222"/>
      </w:tabs>
      <w:spacing w:before="60" w:after="60"/>
      <w:ind w:left="512"/>
      <w:jc w:val="left"/>
    </w:pPr>
  </w:style>
  <w:style w:type="paragraph" w:customStyle="1" w:styleId="Contents3">
    <w:name w:val="Contents 3"/>
    <w:basedOn w:val="Normal"/>
    <w:pPr>
      <w:keepNext/>
      <w:tabs>
        <w:tab w:val="right" w:leader="dot" w:pos="8222"/>
      </w:tabs>
      <w:spacing w:before="60" w:after="60"/>
      <w:ind w:left="1024"/>
      <w:jc w:val="left"/>
    </w:pPr>
  </w:style>
  <w:style w:type="paragraph" w:customStyle="1" w:styleId="Contents4">
    <w:name w:val="Contents 4"/>
    <w:basedOn w:val="Normal"/>
    <w:pPr>
      <w:keepNext/>
      <w:tabs>
        <w:tab w:val="right" w:leader="dot" w:pos="8222"/>
      </w:tabs>
      <w:spacing w:before="60" w:after="60"/>
      <w:ind w:left="1536"/>
      <w:jc w:val="left"/>
    </w:pPr>
  </w:style>
  <w:style w:type="paragraph" w:customStyle="1" w:styleId="Contents5">
    <w:name w:val="Contents 5"/>
    <w:basedOn w:val="Normal"/>
    <w:pPr>
      <w:keepNext/>
      <w:tabs>
        <w:tab w:val="right" w:leader="dot" w:pos="8222"/>
      </w:tabs>
      <w:spacing w:before="60" w:after="60"/>
      <w:ind w:left="2048"/>
      <w:jc w:val="left"/>
    </w:pPr>
  </w:style>
  <w:style w:type="paragraph" w:customStyle="1" w:styleId="Contents6">
    <w:name w:val="Contents 6"/>
    <w:basedOn w:val="Normal"/>
    <w:pPr>
      <w:keepNext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vita2pa.tex</dc:title>
  <dc:creator>Pyeatt, Larry D.</dc:creator>
  <dc:description>Created using latex2rtf 2.2.1 r1191 (released Jun  8 2012) on Thu Mar 19 15:00:56 2015</dc:description>
  <cp:lastModifiedBy>Pyeatt, Larry D.</cp:lastModifiedBy>
  <cp:revision>2</cp:revision>
  <dcterms:created xsi:type="dcterms:W3CDTF">2015-03-19T21:07:00Z</dcterms:created>
  <dcterms:modified xsi:type="dcterms:W3CDTF">2015-03-19T21:08:00Z</dcterms:modified>
  <dc:language>en-US</dc:language>
</cp:coreProperties>
</file>