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采购退货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草稿</w:t>
      </w:r>
      <w:bookmarkStart w:id="0" w:name="_GoBack"/>
      <w:bookmarkEnd w:id="0"/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业务伙伴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到期日期：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/>
          <w:lang w:val="en-US" w:eastAsia="zh-CN"/>
        </w:rPr>
        <w:t>源单号：</w:t>
      </w:r>
      <w:r>
        <w:rPr>
          <w:rFonts w:ascii="Helvetica" w:hAnsi="Helvetica"/>
          <w:lang w:val="en-US" w:eastAsia="zh-CN"/>
        </w:rPr>
        <w:t>{{ obj.order_id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发票号：</w:t>
      </w:r>
      <w:r>
        <w:rPr>
          <w:rFonts w:eastAsia="宋体" w:cs="宋体" w:ascii="Helvetica" w:hAnsi="Helvetica"/>
          <w:lang w:val="en-US" w:eastAsia="zh-CN"/>
        </w:rPr>
        <w:t>{{ obj.invoice_id }}</w:t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入库凭证：</w:t>
      </w:r>
      <w:r>
        <w:rPr>
          <w:rFonts w:eastAsia="宋体" w:cs="宋体" w:ascii="Helvetica" w:hAnsi="Helvetica"/>
          <w:lang w:val="en-US" w:eastAsia="zh-CN"/>
        </w:rPr>
        <w:t>{{ obj.voucher_id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出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</w:t>
      </w:r>
      <w:r>
        <w:rPr>
          <w:rFonts w:eastAsia="宋体" w:cs="宋体" w:ascii="Helvetica" w:hAnsi="Helvetica"/>
          <w:lang w:val="en-US" w:eastAsia="zh-CN"/>
        </w:rPr>
        <w:t>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退款状态：</w:t>
      </w:r>
      <w:r>
        <w:rPr>
          <w:rFonts w:eastAsia="宋体" w:cs="宋体" w:ascii="Helvetica" w:hAnsi="Helvetica"/>
          <w:lang w:val="en-US" w:eastAsia="zh-CN"/>
        </w:rPr>
        <w:t>{{ obj.return_state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eastAsia="宋体" w:cs="宋体" w:ascii="Helvetica" w:hAnsi="Helvetica"/>
          <w:lang w:val="en-US"/>
        </w:rPr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  <w:tab/>
        <w:tab/>
      </w:r>
    </w:p>
    <w:tbl>
      <w:tblPr>
        <w:jc w:val="left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744"/>
        <w:gridCol w:w="452"/>
        <w:gridCol w:w="697"/>
        <w:gridCol w:w="592"/>
        <w:gridCol w:w="433"/>
        <w:gridCol w:w="583"/>
        <w:gridCol w:w="426"/>
        <w:gridCol w:w="798"/>
        <w:gridCol w:w="797"/>
        <w:gridCol w:w="615"/>
        <w:gridCol w:w="608"/>
        <w:gridCol w:w="518"/>
        <w:gridCol w:w="579"/>
        <w:gridCol w:w="861"/>
        <w:gridCol w:w="889"/>
      </w:tblGrid>
      <w:tr>
        <w:trPr>
          <w:tblHeader w:val="true"/>
          <w:trHeight w:val="293" w:hRule="atLeast"/>
          <w:cantSplit w:val="false"/>
        </w:trPr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单价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0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88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74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out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_ids %}</w:t>
            </w:r>
          </w:p>
        </w:tc>
        <w:tc>
          <w:tcPr>
            <w:tcW w:w="4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8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9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8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{{line.goods_id}}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{{line.attribute_i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lot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 }}</w:t>
            </w:r>
          </w:p>
        </w:tc>
        <w:tc>
          <w:tcPr>
            <w:tcW w:w="59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{{line.goods_qty}}</w:t>
            </w:r>
          </w:p>
        </w:tc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tax_rate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subtotal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本次付款：</w:t>
      </w:r>
      <w:r>
        <w:rPr>
          <w:rFonts w:eastAsia="宋体" w:cs="宋体" w:ascii="Helvetica" w:hAnsi="Helvetica"/>
          <w:lang w:val="en-US" w:eastAsia="zh-CN"/>
        </w:rPr>
        <w:t>{{ obj.payment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本次欠款：</w:t>
      </w:r>
      <w:r>
        <w:rPr>
          <w:rFonts w:eastAsia="宋体" w:cs="宋体" w:ascii="Helvetica" w:hAnsi="Helvetica"/>
          <w:lang w:val="en-US" w:eastAsia="zh-CN"/>
        </w:rPr>
        <w:t>{{ obj.debt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 xml:space="preserve">approve_uid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日期：</w:t>
      </w:r>
      <w:r>
        <w:rPr>
          <w:rFonts w:ascii="Helvetica" w:hAnsi="Helvetica" w:cs="宋体" w:eastAsia="宋体"/>
          <w:lang w:val="en-US"/>
        </w:rPr>
        <w:t xml:space="preserve"> </w:t>
      </w:r>
      <w:r>
        <w:rPr>
          <w:rFonts w:eastAsia="宋体" w:cs="宋体" w:ascii="Helvetica" w:hAnsi="Helvetica"/>
          <w:lang w:val="en-US"/>
        </w:rPr>
        <w:t>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2016-09-26T04:08:35Z</dcterms:modified>
  <cp:revision>0</cp:revision>
</cp:coreProperties>
</file>