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E9171"/>
    <w:p w14:paraId="3A6F21EE">
      <w:pPr>
        <w:widowControl/>
        <w:shd w:val="clear" w:color="auto" w:fill="FFFFFF"/>
        <w:spacing w:before="300" w:after="225" w:line="540" w:lineRule="atLeast"/>
        <w:ind w:firstLine="1084" w:firstLineChars="300"/>
        <w:jc w:val="left"/>
        <w:outlineLvl w:val="3"/>
        <w:rPr>
          <w:sz w:val="36"/>
          <w:szCs w:val="36"/>
        </w:rPr>
      </w:pPr>
      <w:r>
        <w:rPr>
          <w:rFonts w:hint="eastAsia" w:ascii="Circular Std" w:hAnsi="Circular Std" w:cs="宋体"/>
          <w:b/>
          <w:bCs/>
          <w:color w:val="404040"/>
          <w:kern w:val="0"/>
          <w:sz w:val="36"/>
          <w:szCs w:val="36"/>
          <w:lang w:eastAsia="zh-CN"/>
        </w:rPr>
        <w:t>托里县供热公司</w:t>
      </w:r>
      <w:r>
        <w:rPr>
          <w:rFonts w:ascii="Circular Std" w:hAnsi="Circular Std" w:cs="宋体"/>
          <w:b/>
          <w:bCs/>
          <w:color w:val="404040"/>
          <w:kern w:val="0"/>
          <w:sz w:val="36"/>
          <w:szCs w:val="36"/>
        </w:rPr>
        <w:t>供</w:t>
      </w:r>
      <w:r>
        <w:rPr>
          <w:rFonts w:hint="eastAsia" w:ascii="Circular Std" w:hAnsi="Circular Std" w:cs="宋体"/>
          <w:b/>
          <w:bCs/>
          <w:color w:val="404040"/>
          <w:kern w:val="0"/>
          <w:sz w:val="36"/>
          <w:szCs w:val="36"/>
          <w:lang w:eastAsia="zh-CN"/>
        </w:rPr>
        <w:t>热</w:t>
      </w:r>
      <w:r>
        <w:rPr>
          <w:rFonts w:ascii="Circular Std" w:hAnsi="Circular Std" w:cs="宋体"/>
          <w:b/>
          <w:bCs/>
          <w:color w:val="404040"/>
          <w:kern w:val="0"/>
          <w:sz w:val="36"/>
          <w:szCs w:val="36"/>
        </w:rPr>
        <w:t>价格成本监审报告</w:t>
      </w:r>
    </w:p>
    <w:p w14:paraId="0989857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rPr>
      </w:pPr>
      <w:r>
        <w:rPr>
          <w:rFonts w:hint="eastAsia" w:ascii="仿宋_GB2312" w:hAnsi="宋体" w:eastAsia="仿宋_GB2312" w:cs="仿宋_GB2312"/>
          <w:i w:val="0"/>
          <w:iCs w:val="0"/>
          <w:caps w:val="0"/>
          <w:color w:val="000000"/>
          <w:spacing w:val="0"/>
          <w:sz w:val="32"/>
          <w:szCs w:val="32"/>
          <w:shd w:val="clear" w:color="auto" w:fill="FFFFFF"/>
        </w:rPr>
        <w:t>根据《中华人民共和国价格法》、《中华人民共和国国家发展和改革委员会令第</w:t>
      </w:r>
      <w:r>
        <w:rPr>
          <w:rFonts w:hint="eastAsia" w:ascii="仿宋_GB2312" w:hAnsi="宋体" w:eastAsia="仿宋_GB2312" w:cs="仿宋_GB2312"/>
          <w:i w:val="0"/>
          <w:iCs w:val="0"/>
          <w:caps w:val="0"/>
          <w:color w:val="000000"/>
          <w:spacing w:val="0"/>
          <w:sz w:val="32"/>
          <w:szCs w:val="32"/>
          <w:shd w:val="clear" w:color="auto" w:fill="FFFFFF"/>
          <w:lang w:val="en-US" w:eastAsia="zh-CN"/>
        </w:rPr>
        <w:t>8</w:t>
      </w:r>
      <w:r>
        <w:rPr>
          <w:rFonts w:hint="eastAsia" w:ascii="仿宋_GB2312" w:hAnsi="宋体" w:eastAsia="仿宋_GB2312" w:cs="仿宋_GB2312"/>
          <w:i w:val="0"/>
          <w:iCs w:val="0"/>
          <w:caps w:val="0"/>
          <w:color w:val="000000"/>
          <w:spacing w:val="0"/>
          <w:sz w:val="32"/>
          <w:szCs w:val="32"/>
          <w:shd w:val="clear" w:color="auto" w:fill="FFFFFF"/>
        </w:rPr>
        <w:t>号》</w:t>
      </w:r>
      <w:r>
        <w:rPr>
          <w:rFonts w:hint="eastAsia" w:ascii="仿宋_GB2312" w:hAnsi="宋体" w:eastAsia="仿宋_GB2312" w:cs="仿宋_GB2312"/>
          <w:i w:val="0"/>
          <w:iCs w:val="0"/>
          <w:caps w:val="0"/>
          <w:color w:val="000000"/>
          <w:spacing w:val="0"/>
          <w:sz w:val="32"/>
          <w:szCs w:val="32"/>
          <w:shd w:val="clear" w:color="auto" w:fill="FFFFFF"/>
          <w:lang w:val="en-US" w:eastAsia="zh-CN"/>
        </w:rPr>
        <w:t>&lt;</w:t>
      </w:r>
      <w:r>
        <w:rPr>
          <w:rFonts w:hint="eastAsia" w:ascii="仿宋_GB2312" w:hAnsi="宋体" w:eastAsia="仿宋_GB2312" w:cs="仿宋_GB2312"/>
          <w:i w:val="0"/>
          <w:iCs w:val="0"/>
          <w:caps w:val="0"/>
          <w:color w:val="000000"/>
          <w:spacing w:val="0"/>
          <w:sz w:val="32"/>
          <w:szCs w:val="32"/>
          <w:shd w:val="clear" w:color="auto" w:fill="FFFFFF"/>
        </w:rPr>
        <w:t>政府制定价格成本监审办法&gt;、</w:t>
      </w:r>
      <w:r>
        <w:rPr>
          <w:rFonts w:hint="eastAsia" w:ascii="仿宋_GB2312" w:hAnsi="宋体" w:eastAsia="仿宋_GB2312" w:cs="仿宋_GB2312"/>
          <w:i w:val="0"/>
          <w:iCs w:val="0"/>
          <w:caps w:val="0"/>
          <w:color w:val="000000"/>
          <w:spacing w:val="0"/>
          <w:sz w:val="32"/>
          <w:szCs w:val="32"/>
          <w:shd w:val="clear" w:color="auto" w:fill="FFFFFF"/>
          <w:lang w:eastAsia="zh-CN"/>
        </w:rPr>
        <w:t>自治区发展改革委关于印发《</w:t>
      </w:r>
      <w:r>
        <w:rPr>
          <w:rFonts w:hint="eastAsia" w:ascii="仿宋_GB2312" w:hAnsi="宋体" w:eastAsia="仿宋_GB2312" w:cs="仿宋_GB2312"/>
          <w:i w:val="0"/>
          <w:iCs w:val="0"/>
          <w:caps w:val="0"/>
          <w:color w:val="000000"/>
          <w:spacing w:val="0"/>
          <w:sz w:val="32"/>
          <w:szCs w:val="32"/>
          <w:shd w:val="clear" w:color="auto" w:fill="FFFFFF"/>
          <w:lang w:val="en-US" w:eastAsia="zh-CN"/>
        </w:rPr>
        <w:t>自治区城镇供热定价成本监审暂行办法》的通知（新发改规[2021]7号），</w:t>
      </w:r>
      <w:r>
        <w:rPr>
          <w:rFonts w:hint="eastAsia" w:ascii="仿宋_GB2312" w:hAnsi="宋体" w:eastAsia="仿宋_GB2312" w:cs="仿宋_GB2312"/>
          <w:i w:val="0"/>
          <w:iCs w:val="0"/>
          <w:caps w:val="0"/>
          <w:color w:val="000000"/>
          <w:spacing w:val="0"/>
          <w:sz w:val="32"/>
          <w:szCs w:val="32"/>
          <w:shd w:val="clear" w:color="auto" w:fill="FFFFFF"/>
        </w:rPr>
        <w:t>《城市供热价格管理暂行办法》（发改价格[2007]1195号）</w:t>
      </w:r>
      <w:r>
        <w:rPr>
          <w:rFonts w:hint="eastAsia" w:ascii="仿宋_GB2312" w:hAnsi="宋体" w:eastAsia="仿宋_GB2312" w:cs="仿宋_GB2312"/>
          <w:i w:val="0"/>
          <w:iCs w:val="0"/>
          <w:caps w:val="0"/>
          <w:color w:val="000000"/>
          <w:spacing w:val="0"/>
          <w:sz w:val="32"/>
          <w:szCs w:val="32"/>
          <w:shd w:val="clear" w:color="auto" w:fill="FFFFFF"/>
          <w:lang w:eastAsia="zh-CN"/>
        </w:rPr>
        <w:t>、</w:t>
      </w:r>
      <w:r>
        <w:rPr>
          <w:rFonts w:hint="eastAsia" w:ascii="仿宋_GB2312" w:hAnsi="宋体" w:eastAsia="仿宋_GB2312" w:cs="仿宋_GB2312"/>
          <w:i w:val="0"/>
          <w:iCs w:val="0"/>
          <w:caps w:val="0"/>
          <w:color w:val="000000"/>
          <w:spacing w:val="0"/>
          <w:sz w:val="32"/>
          <w:szCs w:val="32"/>
          <w:shd w:val="clear" w:color="auto" w:fill="FFFFFF"/>
          <w:lang w:val="en-US" w:eastAsia="zh-CN"/>
        </w:rPr>
        <w:t>《自治区城市供热定价成本监审暂行办法》的通知（新发改成本[2017]482号）、</w:t>
      </w:r>
      <w:r>
        <w:rPr>
          <w:rFonts w:ascii="仿宋_GB2312" w:hAnsi="宋体" w:eastAsia="仿宋_GB2312" w:cs="仿宋_GB2312"/>
          <w:i w:val="0"/>
          <w:iCs w:val="0"/>
          <w:caps w:val="0"/>
          <w:color w:val="000000"/>
          <w:spacing w:val="0"/>
          <w:sz w:val="32"/>
          <w:szCs w:val="32"/>
          <w:shd w:val="clear" w:color="auto" w:fill="FFFFFF"/>
        </w:rPr>
        <w:t>《新疆维吾尔自治区政府定价目录》(新政发〔20</w:t>
      </w:r>
      <w:r>
        <w:rPr>
          <w:rFonts w:hint="eastAsia" w:ascii="仿宋_GB2312" w:hAnsi="宋体" w:eastAsia="仿宋_GB2312" w:cs="仿宋_GB2312"/>
          <w:i w:val="0"/>
          <w:iCs w:val="0"/>
          <w:caps w:val="0"/>
          <w:color w:val="000000"/>
          <w:spacing w:val="0"/>
          <w:sz w:val="32"/>
          <w:szCs w:val="32"/>
          <w:shd w:val="clear" w:color="auto" w:fill="FFFFFF"/>
          <w:lang w:val="en-US" w:eastAsia="zh-CN"/>
        </w:rPr>
        <w:t>23</w:t>
      </w:r>
      <w:r>
        <w:rPr>
          <w:rFonts w:ascii="仿宋_GB2312" w:hAnsi="宋体" w:eastAsia="仿宋_GB2312" w:cs="仿宋_GB2312"/>
          <w:i w:val="0"/>
          <w:iCs w:val="0"/>
          <w:caps w:val="0"/>
          <w:color w:val="000000"/>
          <w:spacing w:val="0"/>
          <w:sz w:val="32"/>
          <w:szCs w:val="32"/>
          <w:shd w:val="clear" w:color="auto" w:fill="FFFFFF"/>
        </w:rPr>
        <w:t>〕</w:t>
      </w:r>
      <w:r>
        <w:rPr>
          <w:rFonts w:hint="eastAsia" w:ascii="仿宋_GB2312" w:hAnsi="宋体" w:eastAsia="仿宋_GB2312" w:cs="仿宋_GB2312"/>
          <w:i w:val="0"/>
          <w:iCs w:val="0"/>
          <w:caps w:val="0"/>
          <w:color w:val="000000"/>
          <w:spacing w:val="0"/>
          <w:sz w:val="32"/>
          <w:szCs w:val="32"/>
          <w:shd w:val="clear" w:color="auto" w:fill="FFFFFF"/>
          <w:lang w:val="en-US" w:eastAsia="zh-CN"/>
        </w:rPr>
        <w:t>34</w:t>
      </w:r>
      <w:r>
        <w:rPr>
          <w:rFonts w:ascii="仿宋_GB2312" w:hAnsi="宋体" w:eastAsia="仿宋_GB2312" w:cs="仿宋_GB2312"/>
          <w:i w:val="0"/>
          <w:iCs w:val="0"/>
          <w:caps w:val="0"/>
          <w:color w:val="000000"/>
          <w:spacing w:val="0"/>
          <w:sz w:val="32"/>
          <w:szCs w:val="32"/>
          <w:shd w:val="clear" w:color="auto" w:fill="FFFFFF"/>
        </w:rPr>
        <w:t>号）</w:t>
      </w:r>
      <w:r>
        <w:rPr>
          <w:rFonts w:hint="eastAsia" w:ascii="仿宋_GB2312" w:hAnsi="宋体" w:eastAsia="仿宋_GB2312" w:cs="仿宋_GB2312"/>
          <w:i w:val="0"/>
          <w:iCs w:val="0"/>
          <w:caps w:val="0"/>
          <w:color w:val="000000"/>
          <w:spacing w:val="0"/>
          <w:sz w:val="32"/>
          <w:szCs w:val="32"/>
          <w:shd w:val="clear" w:color="auto" w:fill="FFFFFF"/>
          <w:lang w:eastAsia="zh-CN"/>
        </w:rPr>
        <w:t>、</w:t>
      </w:r>
      <w:r>
        <w:rPr>
          <w:rFonts w:ascii="仿宋_GB2312" w:hAnsi="宋体" w:eastAsia="仿宋_GB2312" w:cs="仿宋_GB2312"/>
          <w:i w:val="0"/>
          <w:iCs w:val="0"/>
          <w:caps w:val="0"/>
          <w:color w:val="000000"/>
          <w:spacing w:val="0"/>
          <w:sz w:val="32"/>
          <w:szCs w:val="32"/>
          <w:shd w:val="clear" w:color="auto" w:fill="FFFFFF"/>
        </w:rPr>
        <w:t>《新疆维吾尔自治区定价成本监审目录》</w:t>
      </w:r>
      <w:r>
        <w:rPr>
          <w:rFonts w:hint="eastAsia" w:ascii="仿宋_GB2312" w:hAnsi="宋体" w:eastAsia="仿宋_GB2312" w:cs="仿宋_GB2312"/>
          <w:i w:val="0"/>
          <w:iCs w:val="0"/>
          <w:caps w:val="0"/>
          <w:color w:val="000000"/>
          <w:spacing w:val="0"/>
          <w:sz w:val="32"/>
          <w:szCs w:val="32"/>
          <w:shd w:val="clear" w:color="auto" w:fill="FFFFFF"/>
          <w:lang w:eastAsia="zh-CN"/>
        </w:rPr>
        <w:t>（</w:t>
      </w:r>
      <w:r>
        <w:rPr>
          <w:rFonts w:hint="default" w:ascii="仿宋_GB2312" w:hAnsi="宋体" w:eastAsia="仿宋_GB2312" w:cs="仿宋_GB2312"/>
          <w:i w:val="0"/>
          <w:iCs w:val="0"/>
          <w:caps w:val="0"/>
          <w:color w:val="000000"/>
          <w:spacing w:val="0"/>
          <w:sz w:val="32"/>
          <w:szCs w:val="32"/>
          <w:shd w:val="clear" w:color="auto" w:fill="FFFFFF"/>
        </w:rPr>
        <w:t>新发改规〔2024〕3号</w:t>
      </w:r>
      <w:r>
        <w:rPr>
          <w:rFonts w:hint="eastAsia" w:ascii="仿宋_GB2312" w:hAnsi="宋体" w:eastAsia="仿宋_GB2312" w:cs="仿宋_GB2312"/>
          <w:i w:val="0"/>
          <w:iCs w:val="0"/>
          <w:caps w:val="0"/>
          <w:color w:val="000000"/>
          <w:spacing w:val="0"/>
          <w:sz w:val="32"/>
          <w:szCs w:val="32"/>
          <w:shd w:val="clear" w:color="auto" w:fill="FFFFFF"/>
          <w:lang w:eastAsia="zh-CN"/>
        </w:rPr>
        <w:t>）等</w:t>
      </w:r>
      <w:r>
        <w:rPr>
          <w:rFonts w:hint="eastAsia" w:ascii="仿宋_GB2312" w:hAnsi="宋体" w:eastAsia="仿宋_GB2312" w:cs="仿宋_GB2312"/>
          <w:i w:val="0"/>
          <w:iCs w:val="0"/>
          <w:caps w:val="0"/>
          <w:color w:val="000000"/>
          <w:spacing w:val="0"/>
          <w:sz w:val="32"/>
          <w:szCs w:val="32"/>
          <w:shd w:val="clear" w:color="auto" w:fill="FFFFFF"/>
        </w:rPr>
        <w:t>有关规定，我们遵循公平、科学、规范、效率的原则，</w:t>
      </w:r>
      <w:r>
        <w:rPr>
          <w:rFonts w:hint="eastAsia" w:ascii="仿宋_GB2312" w:hAnsi="宋体" w:eastAsia="仿宋_GB2312" w:cs="仿宋_GB2312"/>
          <w:i w:val="0"/>
          <w:iCs w:val="0"/>
          <w:caps w:val="0"/>
          <w:color w:val="000000"/>
          <w:spacing w:val="0"/>
          <w:sz w:val="32"/>
          <w:szCs w:val="32"/>
          <w:shd w:val="clear" w:color="auto" w:fill="FFFFFF"/>
          <w:lang w:val="en-US" w:eastAsia="zh-CN"/>
        </w:rPr>
        <w:t>于2024年4月11日至2024年6月5日期间，依法对托里县供热公司2021年- 2023年度供热成本进行了监审。具体情况报告如下：</w:t>
      </w:r>
    </w:p>
    <w:p w14:paraId="55BC0946">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一、成本监审项目</w:t>
      </w:r>
    </w:p>
    <w:p w14:paraId="03E0A24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rPr>
      </w:pPr>
      <w:r>
        <w:rPr>
          <w:rFonts w:hint="eastAsia" w:ascii="仿宋_GB2312" w:hAnsi="宋体" w:eastAsia="仿宋_GB2312" w:cs="仿宋_GB2312"/>
          <w:i w:val="0"/>
          <w:iCs w:val="0"/>
          <w:caps w:val="0"/>
          <w:color w:val="000000"/>
          <w:spacing w:val="0"/>
          <w:sz w:val="32"/>
          <w:szCs w:val="32"/>
          <w:shd w:val="clear" w:color="auto" w:fill="FFFFFF"/>
          <w:lang w:val="en-US" w:eastAsia="zh-CN"/>
        </w:rPr>
        <w:t>托里县供热公司2021年-2023年三个</w:t>
      </w:r>
      <w:r>
        <w:rPr>
          <w:rFonts w:hint="eastAsia" w:ascii="仿宋_GB2312" w:hAnsi="宋体" w:eastAsia="仿宋_GB2312" w:cs="仿宋_GB2312"/>
          <w:i w:val="0"/>
          <w:iCs w:val="0"/>
          <w:caps w:val="0"/>
          <w:color w:val="000000"/>
          <w:spacing w:val="0"/>
          <w:sz w:val="32"/>
          <w:szCs w:val="32"/>
          <w:shd w:val="clear" w:color="auto" w:fill="FFFFFF"/>
          <w:lang w:eastAsia="zh-CN"/>
        </w:rPr>
        <w:t>采暖期供热成本</w:t>
      </w:r>
      <w:r>
        <w:rPr>
          <w:rFonts w:hint="eastAsia" w:ascii="仿宋_GB2312" w:hAnsi="宋体" w:eastAsia="仿宋_GB2312" w:cs="仿宋_GB2312"/>
          <w:i w:val="0"/>
          <w:iCs w:val="0"/>
          <w:caps w:val="0"/>
          <w:color w:val="000000"/>
          <w:spacing w:val="0"/>
          <w:sz w:val="32"/>
          <w:szCs w:val="32"/>
          <w:shd w:val="clear" w:color="auto" w:fill="FFFFFF"/>
          <w:lang w:val="en-US" w:eastAsia="zh-CN"/>
        </w:rPr>
        <w:t>。</w:t>
      </w:r>
    </w:p>
    <w:p w14:paraId="6C88BDD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二、成本监审依据</w:t>
      </w:r>
    </w:p>
    <w:p w14:paraId="351CB9C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（一）《中华人民共和国价格法》;</w:t>
      </w:r>
    </w:p>
    <w:p w14:paraId="6B761D9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（二）《政府制定价格成本监审办法》国家发展和改革委员会（第8号令）；</w:t>
      </w:r>
    </w:p>
    <w:p w14:paraId="22B6EAD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（三）《中华人民共和国会计法》、财政部《企业会计准则》，《企业会计制度》和相关行业财物会计制度;</w:t>
      </w:r>
    </w:p>
    <w:p w14:paraId="0A360C8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（四）《中华人民共和国税法》;</w:t>
      </w:r>
    </w:p>
    <w:p w14:paraId="05F8501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（五）新疆维吾尔自治区政府关于公布《新疆维吾尔自治区定价目录的通知》新政发（2023）34号;</w:t>
      </w:r>
    </w:p>
    <w:p w14:paraId="5EC5D2E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（六）《新疆维吾尔自治区定价成本监审目录》（</w:t>
      </w:r>
      <w:r>
        <w:rPr>
          <w:rFonts w:hint="default" w:ascii="仿宋_GB2312" w:hAnsi="宋体" w:eastAsia="仿宋_GB2312" w:cs="仿宋_GB2312"/>
          <w:i w:val="0"/>
          <w:iCs w:val="0"/>
          <w:caps w:val="0"/>
          <w:color w:val="000000"/>
          <w:spacing w:val="0"/>
          <w:sz w:val="32"/>
          <w:szCs w:val="32"/>
          <w:shd w:val="clear" w:color="auto" w:fill="FFFFFF"/>
          <w:lang w:val="en-US" w:eastAsia="zh-CN"/>
        </w:rPr>
        <w:t>新发改规〔2024〕3号</w:t>
      </w:r>
      <w:r>
        <w:rPr>
          <w:rFonts w:hint="eastAsia" w:ascii="仿宋_GB2312" w:hAnsi="宋体" w:eastAsia="仿宋_GB2312" w:cs="仿宋_GB2312"/>
          <w:i w:val="0"/>
          <w:iCs w:val="0"/>
          <w:caps w:val="0"/>
          <w:color w:val="000000"/>
          <w:spacing w:val="0"/>
          <w:sz w:val="32"/>
          <w:szCs w:val="32"/>
          <w:shd w:val="clear" w:color="auto" w:fill="FFFFFF"/>
          <w:lang w:val="en-US" w:eastAsia="zh-CN"/>
        </w:rPr>
        <w:t>）；</w:t>
      </w:r>
    </w:p>
    <w:p w14:paraId="746C144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（七）新疆维吾尔自治区关于印发《自治区城镇供热定价成本监审暂行办法》的通知（新发改规）[2021]7号；</w:t>
      </w:r>
    </w:p>
    <w:p w14:paraId="134376FD">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（八）《新疆维吾尔自治区城市供热定价成本监审暂行办法》新发改成本（2017）482号；</w:t>
      </w:r>
    </w:p>
    <w:p w14:paraId="1A576DE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（九）新疆永佳有限责任会计师事务所的《年度审计报告》；</w:t>
      </w:r>
    </w:p>
    <w:p w14:paraId="24C63DF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（十）监审期间年度总帐、明细账、记账凭证、及成本监审相关资料等。</w:t>
      </w:r>
    </w:p>
    <w:p w14:paraId="11CA434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三、成本监审程序</w:t>
      </w:r>
    </w:p>
    <w:p w14:paraId="451D62D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1、《成本监审通知书》通知发出后，被监审单位于2024年4月12日向我们提供了相关的成本资料，经初审合格，决定受理。</w:t>
      </w:r>
    </w:p>
    <w:p w14:paraId="0190E2A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2、成立监审工作组，明确项目监审负责人和监审人员，制定工作方案，安排工作步骤和日程，并告知被监审单位。</w:t>
      </w:r>
    </w:p>
    <w:p w14:paraId="0F477C0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3、听取被监审单位的相关情况介绍。</w:t>
      </w:r>
    </w:p>
    <w:p w14:paraId="78BFD51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4、资料不全的，要求被监审单位补充资料。</w:t>
      </w:r>
    </w:p>
    <w:p w14:paraId="74EF4B35">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5、实地监审。2024年4月16日开始对被监审单位实地审查。审核财务报表、账簿和凭证等，了解相关情况。</w:t>
      </w:r>
    </w:p>
    <w:p w14:paraId="4227C7F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6、审核、测算定价成本。依据《政府制定价格成本监审办法》及相关规定按照权责发生制和相关性等原则，对被监审单位各项成本数据进行审核、调整和测算，核算出定价成本。</w:t>
      </w:r>
    </w:p>
    <w:p w14:paraId="0785D366">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7、征求意见。根据审核情况，于2024年5月21日向托里县供热公司发出《成本监审意见告知书》，被监审单位于2024年5月26日书面回复，对监审结果无异议。</w:t>
      </w:r>
    </w:p>
    <w:p w14:paraId="5CFBDDA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8、出具成本监审报告。</w:t>
      </w:r>
    </w:p>
    <w:p w14:paraId="13526AC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四、成本监审的主要内容及核算分摊方法</w:t>
      </w:r>
    </w:p>
    <w:p w14:paraId="27E7AA3D">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（一）本次监审的内容仅限于托里县供热公司，基本生产成本、期间费用中供热相关的营业费用、管理费用及财务费用，其他业务费用</w:t>
      </w:r>
    </w:p>
    <w:p w14:paraId="3229C523">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二）在对托里县供热公司下发监审通知书后，我们对供热成本进行实地监审，对其提供的相关资料逐项核实。监审工作中，托里县供热公司积极配合，按需要如实提供了成本监审期间的，会计报表、帐薄、发票与凭证、以及成本费用、价格等相关资料。</w:t>
      </w:r>
    </w:p>
    <w:p w14:paraId="0A29C1A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（三）成本核算方法和成本费用分摊方法</w:t>
      </w:r>
    </w:p>
    <w:p w14:paraId="289D7EE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1、详细列明服务商品的成本费用项目；</w:t>
      </w:r>
    </w:p>
    <w:p w14:paraId="6B654D1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2、明确基本生产成本中的燃料、材料、固定资产折旧、工资、动力、职工福利费、职工平均工资总额、期间费用中的业务招待费、职工教育经费等主要费用项目核算标准和分摊方法；</w:t>
      </w:r>
    </w:p>
    <w:p w14:paraId="7E224DA3">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3、剔除不该进入成本的费用。</w:t>
      </w:r>
    </w:p>
    <w:p w14:paraId="7736C3A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4、按会计年度进行成本分摊。</w:t>
      </w:r>
    </w:p>
    <w:p w14:paraId="4989D61B">
      <w:pPr>
        <w:keepNext w:val="0"/>
        <w:keepLines w:val="0"/>
        <w:pageBreakBefore w:val="0"/>
        <w:widowControl w:val="0"/>
        <w:kinsoku/>
        <w:wordWrap/>
        <w:overflowPunct/>
        <w:topLinePunct w:val="0"/>
        <w:autoSpaceDE/>
        <w:autoSpaceDN/>
        <w:bidi w:val="0"/>
        <w:adjustRightInd/>
        <w:snapToGrid/>
        <w:spacing w:line="500" w:lineRule="exact"/>
        <w:ind w:firstLine="643" w:firstLineChars="200"/>
        <w:textAlignment w:val="auto"/>
        <w:rPr>
          <w:rFonts w:hint="eastAsia" w:ascii="宋体" w:hAnsi="宋体" w:eastAsia="宋体" w:cs="宋体"/>
          <w:b/>
          <w:color w:val="000000"/>
          <w:kern w:val="0"/>
          <w:sz w:val="32"/>
          <w:szCs w:val="32"/>
          <w:shd w:val="clear" w:color="auto" w:fill="FFFFFF"/>
          <w:lang w:val="en-US" w:eastAsia="zh-CN" w:bidi="ar"/>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五、被监审单位基本情况</w:t>
      </w:r>
    </w:p>
    <w:p w14:paraId="03EAB8D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托里县供热公司经2005年改制，由原托里县锅炉管理所更名为托里县供热公司，2005年2月22日经塔城地区托里县工商行政管理局批准成立的企业法人单位，类型：有限责任公司（非自然人投资或控股的法人独资）,住所：新疆塔城地区托里县文化路阿克布拉克小区院内,注册资本人民币737万元整；法定代表人：刘洋；公司股东：托里县国有投资经营公司；企业信用代码号为916542244583758402。</w:t>
      </w:r>
    </w:p>
    <w:p w14:paraId="47AFFA7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经营范围：供暖及供暖设施的安装与维修，混凝土路面砖加工销售（依法须经批准的项目，经相关部门批准后方可开展经营经动）。  </w:t>
      </w:r>
    </w:p>
    <w:p w14:paraId="0BEF43A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托里县供热公司共有职工50人，其中在职职工44人，因病内退</w:t>
      </w:r>
      <w:r>
        <w:rPr>
          <w:rFonts w:hint="default" w:ascii="仿宋_GB2312" w:hAnsi="宋体" w:eastAsia="仿宋_GB2312" w:cs="仿宋_GB2312"/>
          <w:i w:val="0"/>
          <w:iCs w:val="0"/>
          <w:caps w:val="0"/>
          <w:color w:val="000000"/>
          <w:spacing w:val="0"/>
          <w:sz w:val="32"/>
          <w:szCs w:val="32"/>
          <w:shd w:val="clear" w:color="auto" w:fill="FFFFFF"/>
          <w:lang w:val="en-US" w:eastAsia="zh-CN"/>
        </w:rPr>
        <w:t>6</w:t>
      </w:r>
      <w:r>
        <w:rPr>
          <w:rFonts w:hint="eastAsia" w:ascii="仿宋_GB2312" w:hAnsi="宋体" w:eastAsia="仿宋_GB2312" w:cs="仿宋_GB2312"/>
          <w:i w:val="0"/>
          <w:iCs w:val="0"/>
          <w:caps w:val="0"/>
          <w:color w:val="000000"/>
          <w:spacing w:val="0"/>
          <w:sz w:val="32"/>
          <w:szCs w:val="32"/>
          <w:shd w:val="clear" w:color="auto" w:fill="FFFFFF"/>
          <w:lang w:val="en-US" w:eastAsia="zh-CN"/>
        </w:rPr>
        <w:t>人，公司共设5个科室。根据托里县城的总体发展要求及城镇规划，按前期设计及现有基础设施规划，供热能力基本可达到200万平方米。</w:t>
      </w:r>
    </w:p>
    <w:p w14:paraId="7BCDC0DD">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1、固定资产投入情况</w:t>
      </w:r>
    </w:p>
    <w:p w14:paraId="086F723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供热公司建有锅炉房一座，建筑面积5828平方米，附属车间建筑面积1220平方米，安装46WM、58WM、91WM等3台高温热水锅炉及相关附属设备，有换热站17座，铺设供热管网约43千米，其中一次管网约10.5千米，二次管网约32.5千米。2021年固定资产原值85014169.64元，2022年固定资产原值86393757.33值元，2023年固定资产原值106910319.1元。  </w:t>
      </w:r>
    </w:p>
    <w:p w14:paraId="608937A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2、项目实施情况</w:t>
      </w:r>
    </w:p>
    <w:p w14:paraId="003037D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近几年，托里县集中供热陆续实施了锅炉系统改造、环保设备改造、老旧管网改造、换热站改造工程，合计项目资金投入约：8000万元，改造包括：锅炉房3台锅炉配电及自控系统改造；上煤除渣系统改造；脱硫、除尘、脱硝设备改造；烟囱改建；17座换热站提升改造；提升改造老旧管网约6千米，近几年实施的项目，奠定了托里县集中供热能够持续开展的基础，满足了县城区域供热的发展需求，提高了供热效率。</w:t>
      </w:r>
    </w:p>
    <w:p w14:paraId="3880A8F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default" w:ascii="仿宋_GB2312" w:hAnsi="宋体" w:eastAsia="仿宋_GB2312" w:cs="仿宋_GB2312"/>
          <w:i w:val="0"/>
          <w:iCs w:val="0"/>
          <w:caps w:val="0"/>
          <w:color w:val="000000"/>
          <w:spacing w:val="0"/>
          <w:sz w:val="32"/>
          <w:szCs w:val="32"/>
          <w:shd w:val="clear" w:color="auto" w:fill="FFFFFF"/>
          <w:lang w:val="en-US" w:eastAsia="zh-CN"/>
        </w:rPr>
        <w:t>3、</w:t>
      </w:r>
      <w:r>
        <w:rPr>
          <w:rFonts w:hint="eastAsia" w:ascii="仿宋_GB2312" w:hAnsi="宋体" w:eastAsia="仿宋_GB2312" w:cs="仿宋_GB2312"/>
          <w:i w:val="0"/>
          <w:iCs w:val="0"/>
          <w:caps w:val="0"/>
          <w:color w:val="000000"/>
          <w:spacing w:val="0"/>
          <w:sz w:val="32"/>
          <w:szCs w:val="32"/>
          <w:shd w:val="clear" w:color="auto" w:fill="FFFFFF"/>
          <w:lang w:val="en-US" w:eastAsia="zh-CN"/>
        </w:rPr>
        <w:t>供热收费价格依据</w:t>
      </w:r>
    </w:p>
    <w:p w14:paraId="68265C3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公司收费标准按照地区发改委塔地发改价【2007】66号文件《关于对托里县县城供热价格的批复》制定的取暖费价格标准收费：托里县县城供热价格（含税价）由现行按实际供暖面积计算0.15元/平方米•日（27元/平方米•供暖期）调整为0.175元/平方米•日（31.50元/平方米•供暖期）。一个供暖期按180天计；对使用暖气过水热的用户不分用户类别，按60元/个•供暖期。</w:t>
      </w:r>
    </w:p>
    <w:p w14:paraId="135B048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4、2020年至2023年经营收入支出情况</w:t>
      </w:r>
    </w:p>
    <w:p w14:paraId="1343AD8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2021年供暖面积1349088.㎡，其中报停面积94780.0.4㎡，主营业务收入30602062.94元，营业总成本36629600.72元，营业外收入1823794.74元,支出33340元，营业外净收入1790454.74元，冲减主营业务亏损后年亏损-4237083.04元（营业总成本36629600.72元）-（主营业务采暖费收入30602062.94元+营业外净收入1790454.74元）。</w:t>
      </w:r>
    </w:p>
    <w:p w14:paraId="1B2FFBE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2022年供暖面积1423288.57㎡，其中报停面积106883.39㎡，主营业务收入25354118.19元，营业总成本43597595.35元，营业外收入8022766.71元,支出6493.98元，营业外净收入8016272.73元，冲减主营业务亏损后年亏损-10227204.43元（营业总成本43597595.35元）-（主营业务采暖费收入25354118.19元+营业外净收入8016272.73元）。</w:t>
      </w:r>
    </w:p>
    <w:p w14:paraId="5B4A91F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3）2022年供暖面积1461863.97㎡，其中报停面积137596.201㎡，主营业务收入46545615.65元，营业总成本58539815.06元，营业外收入5926405.76元58539815.06，支出229581.57元，营业外净收入5696824.19元，冲减主营业务亏损后年亏损-6297375.22元（营业总成本58539815.06元）-（主营业务采暖费收入46545615.65元+营业外净收入5696824.19元）。</w:t>
      </w:r>
    </w:p>
    <w:p w14:paraId="1828058A">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六、被监审单位成本监审情况</w:t>
      </w:r>
      <w:r>
        <w:rPr>
          <w:rFonts w:hint="eastAsia" w:ascii="方正仿宋_GBK" w:hAnsi="Calibri" w:eastAsia="方正仿宋_GBK"/>
          <w:kern w:val="0"/>
          <w:sz w:val="30"/>
          <w:szCs w:val="30"/>
          <w:lang w:eastAsia="zh-CN"/>
        </w:rPr>
        <w:t>（</w:t>
      </w:r>
      <w:r>
        <w:rPr>
          <w:rFonts w:hint="eastAsia" w:ascii="仿宋" w:hAnsi="仿宋" w:eastAsia="仿宋" w:cs="仿宋"/>
          <w:b/>
          <w:bCs/>
          <w:color w:val="000000"/>
          <w:kern w:val="0"/>
          <w:sz w:val="32"/>
          <w:szCs w:val="32"/>
          <w:lang w:val="en-US" w:eastAsia="zh-CN"/>
        </w:rPr>
        <w:t>成本核减核增情况说明）</w:t>
      </w:r>
    </w:p>
    <w:p w14:paraId="1D59E97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根据提供的2021年月至2023年采暖期总帐、明细账、记账凭证及财务审计报告等相关资料，我们对托里县供热公司 供热成本进行了审核。详见附表：《托里县供热公司成本核定表》[2021年-2023年三个采暖期],实地审核后，按照成本核算办法详细列明了成本费用项目及审核结果，现予以具体说明如下：</w:t>
      </w:r>
    </w:p>
    <w:p w14:paraId="1BEEDC6F">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3" w:firstLineChars="200"/>
        <w:jc w:val="left"/>
        <w:textAlignment w:val="auto"/>
        <w:rPr>
          <w:rFonts w:hint="default"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（一）</w:t>
      </w:r>
      <w:r>
        <w:rPr>
          <w:rFonts w:hint="default" w:ascii="仿宋_GB2312" w:hAnsi="宋体" w:eastAsia="仿宋_GB2312" w:cs="仿宋_GB2312"/>
          <w:b/>
          <w:bCs/>
          <w:i w:val="0"/>
          <w:iCs w:val="0"/>
          <w:caps w:val="0"/>
          <w:color w:val="000000"/>
          <w:spacing w:val="0"/>
          <w:sz w:val="32"/>
          <w:szCs w:val="32"/>
          <w:shd w:val="clear" w:color="auto" w:fill="FFFFFF"/>
          <w:lang w:val="en-US" w:eastAsia="zh-CN"/>
        </w:rPr>
        <w:t>202</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1年度采暖期</w:t>
      </w:r>
    </w:p>
    <w:p w14:paraId="2F5DDC8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供热面积的核定：公司填报供暖面积1349088平方米、报停面积94780.04平方米、报停收入601916.33元、过水热收热费340342元，依据自治区发展改革委关于印发《自治区城镇供热定价成本监审暂行办法》的通知（新发改规[2021]7号)第二十条</w:t>
      </w:r>
      <w:r>
        <w:rPr>
          <w:rFonts w:hint="default" w:ascii="仿宋_GB2312" w:hAnsi="宋体" w:eastAsia="仿宋_GB2312" w:cs="仿宋_GB2312"/>
          <w:i w:val="0"/>
          <w:iCs w:val="0"/>
          <w:caps w:val="0"/>
          <w:color w:val="000000"/>
          <w:spacing w:val="0"/>
          <w:sz w:val="32"/>
          <w:szCs w:val="32"/>
          <w:shd w:val="clear" w:color="auto" w:fill="FFFFFF"/>
          <w:lang w:val="en-US" w:eastAsia="zh-CN"/>
        </w:rPr>
        <w:t>供热量（供热面积）按照监审期间年度平均水平，剔除不合理因素并适当参考监审期间变化核定。实行热计量计费的,按售热量（供热量减合理损耗）核定;未实行热计量计费的,按实际供热面积核定。供热面积是指经营者供热区域内各类用户实际入网面积的总和，供热面积中报停面积（政策允许收取过热费的），按收取费用比例折算面积，计入核定供热面积中。</w:t>
      </w:r>
    </w:p>
    <w:p w14:paraId="5784145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经测算实际供暖面积核定为1284220.92平方米【1349088㎡-报停94780.04㎡+报停过水热收入折算面积29912.96㎡[（报停收入601916.33元+过水热收热费340342元）÷31.5元/㎡]】。</w:t>
      </w:r>
    </w:p>
    <w:p w14:paraId="63C5079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核定供热应收入40452958.98元（1284220.92㎡×31.5元）。</w:t>
      </w:r>
    </w:p>
    <w:p w14:paraId="2D3FAD0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核增企业供热收入：9850896.04元（企业应收40452958.98元-企业实收30602062.94元）。</w:t>
      </w:r>
    </w:p>
    <w:p w14:paraId="250ED64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3、人员工资的核定：年职工人数57人，公司报工资总额4279878.15元（其中生产人员3630862.15元+管理人员649016元），根据自治区发展改革委关于印发《自治区城镇供热定价成本监审暂行办法》的通知（新发改规[2021]7号)第十七条、第（三）项规定：职工工资总额按照职工平均工资与职工人数核定，职工平均工资，原则上据实核定，但不得超过统计部门公布的当地行业职工平均工资水平，2021年塔城地区统计局提供的全区城镇单位就业人员年平均工资78082元/年，单位自报：工资总额4279878.15元,人均工资75085.58元（4279878.15元÷57人）。人均工资未超过规定，据实核入成本。</w:t>
      </w:r>
    </w:p>
    <w:p w14:paraId="4034F415">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4、职工福利费：单位自报：15010元（其中生产费用9910元+管理费用5100元），根据自治区发展改革委关于印发《自治区城镇供热定价成本监审暂行办法》的通知（新发改规[2021]7号)第十五条、工会经费职工教育局费分别核定工资总额的2%和2.5%核算：职工福利费原则上据实核算，但最高不得超过核定工资总额的14%，未超过核定工资总额的14%，据实核入成本。</w:t>
      </w:r>
    </w:p>
    <w:p w14:paraId="5D1E3F5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5、社会保障保险：根据关于印发</w:t>
      </w:r>
      <w:r>
        <w:rPr>
          <w:rFonts w:hint="eastAsia" w:ascii="仿宋" w:hAnsi="仿宋" w:eastAsia="仿宋" w:cs="仿宋"/>
          <w:color w:val="000000"/>
          <w:sz w:val="32"/>
          <w:szCs w:val="32"/>
          <w:shd w:val="clear" w:color="auto" w:fill="FFFFFF"/>
          <w:lang w:eastAsia="zh-CN"/>
        </w:rPr>
        <w:t>根据关于印发《自治区城市供热定价成本监审暂行办法》的通知（新发改成本（</w:t>
      </w:r>
      <w:r>
        <w:rPr>
          <w:rFonts w:hint="eastAsia" w:ascii="仿宋" w:hAnsi="仿宋" w:eastAsia="仿宋" w:cs="仿宋"/>
          <w:color w:val="000000"/>
          <w:sz w:val="32"/>
          <w:szCs w:val="32"/>
          <w:shd w:val="clear" w:color="auto" w:fill="FFFFFF"/>
          <w:lang w:val="en-US"/>
        </w:rPr>
        <w:t>2017</w:t>
      </w:r>
      <w:r>
        <w:rPr>
          <w:rFonts w:hint="eastAsia" w:ascii="仿宋" w:hAnsi="仿宋" w:eastAsia="仿宋" w:cs="仿宋"/>
          <w:color w:val="000000"/>
          <w:sz w:val="32"/>
          <w:szCs w:val="32"/>
          <w:shd w:val="clear" w:color="auto" w:fill="FFFFFF"/>
          <w:lang w:eastAsia="zh-CN"/>
        </w:rPr>
        <w:t>）</w:t>
      </w:r>
      <w:r>
        <w:rPr>
          <w:rFonts w:hint="eastAsia" w:ascii="仿宋" w:hAnsi="仿宋" w:eastAsia="仿宋" w:cs="仿宋"/>
          <w:color w:val="000000"/>
          <w:sz w:val="32"/>
          <w:szCs w:val="32"/>
          <w:shd w:val="clear" w:color="auto" w:fill="FFFFFF"/>
          <w:lang w:val="en-US"/>
        </w:rPr>
        <w:t>482</w:t>
      </w:r>
      <w:r>
        <w:rPr>
          <w:rFonts w:hint="eastAsia" w:ascii="仿宋" w:hAnsi="仿宋" w:eastAsia="仿宋" w:cs="仿宋"/>
          <w:color w:val="000000"/>
          <w:sz w:val="32"/>
          <w:szCs w:val="32"/>
          <w:shd w:val="clear" w:color="auto" w:fill="FFFFFF"/>
          <w:lang w:eastAsia="zh-CN"/>
        </w:rPr>
        <w:t>号）第十六条及</w:t>
      </w:r>
      <w:r>
        <w:rPr>
          <w:rFonts w:hint="eastAsia" w:ascii="仿宋_GB2312" w:hAnsi="宋体" w:eastAsia="仿宋_GB2312" w:cs="仿宋_GB2312"/>
          <w:i w:val="0"/>
          <w:iCs w:val="0"/>
          <w:caps w:val="0"/>
          <w:color w:val="000000"/>
          <w:spacing w:val="0"/>
          <w:sz w:val="32"/>
          <w:szCs w:val="32"/>
          <w:shd w:val="clear" w:color="auto" w:fill="FFFFFF"/>
          <w:lang w:val="en-US" w:eastAsia="zh-CN"/>
        </w:rPr>
        <w:t>《自治区城镇供热定价成本监审暂行办法》的通知（新发改规[2021]7号)第十</w:t>
      </w:r>
      <w:r>
        <w:rPr>
          <w:rFonts w:hint="eastAsia" w:ascii="仿宋_GB2312" w:eastAsia="仿宋_GB2312" w:cs="仿宋_GB2312"/>
          <w:i w:val="0"/>
          <w:iCs w:val="0"/>
          <w:caps w:val="0"/>
          <w:color w:val="000000"/>
          <w:spacing w:val="0"/>
          <w:sz w:val="32"/>
          <w:szCs w:val="32"/>
          <w:shd w:val="clear" w:color="auto" w:fill="FFFFFF"/>
          <w:lang w:val="en-US" w:eastAsia="zh-CN"/>
        </w:rPr>
        <w:t>七</w:t>
      </w:r>
      <w:r>
        <w:rPr>
          <w:rFonts w:hint="eastAsia" w:ascii="仿宋_GB2312" w:hAnsi="宋体" w:eastAsia="仿宋_GB2312" w:cs="仿宋_GB2312"/>
          <w:i w:val="0"/>
          <w:iCs w:val="0"/>
          <w:caps w:val="0"/>
          <w:color w:val="000000"/>
          <w:spacing w:val="0"/>
          <w:sz w:val="32"/>
          <w:szCs w:val="32"/>
          <w:shd w:val="clear" w:color="auto" w:fill="FFFFFF"/>
          <w:lang w:val="en-US" w:eastAsia="zh-CN"/>
        </w:rPr>
        <w:t>条</w:t>
      </w:r>
      <w:r>
        <w:rPr>
          <w:rFonts w:hint="eastAsia" w:ascii="仿宋_GB2312" w:eastAsia="仿宋_GB2312" w:cs="仿宋_GB2312"/>
          <w:i w:val="0"/>
          <w:iCs w:val="0"/>
          <w:caps w:val="0"/>
          <w:color w:val="000000"/>
          <w:spacing w:val="0"/>
          <w:sz w:val="32"/>
          <w:szCs w:val="32"/>
          <w:shd w:val="clear" w:color="auto" w:fill="FFFFFF"/>
          <w:lang w:val="en-US" w:eastAsia="zh-CN"/>
        </w:rPr>
        <w:t>（第三项），</w:t>
      </w:r>
      <w:r>
        <w:rPr>
          <w:rFonts w:hint="eastAsia" w:ascii="仿宋_GB2312" w:hAnsi="宋体" w:eastAsia="仿宋_GB2312" w:cs="仿宋_GB2312"/>
          <w:i w:val="0"/>
          <w:iCs w:val="0"/>
          <w:caps w:val="0"/>
          <w:color w:val="000000"/>
          <w:spacing w:val="0"/>
          <w:sz w:val="32"/>
          <w:szCs w:val="32"/>
          <w:shd w:val="clear" w:color="auto" w:fill="FFFFFF"/>
          <w:lang w:val="en-US" w:eastAsia="zh-CN"/>
        </w:rPr>
        <w:t>社会保险费中的养老保险、医疗保险、失业保险、工伤保险、生育保险及住房公积金分别按核定的工资总额以及国家或当地政府规定的缴费比例核定。公司报当地政府规定的公司缴纳比例：本年度养老保险缴纳基数16%,失业金缴纳基数0.5%、工伤保险缴纳基数比例1-3月1.08%,4-12月0.86%( 前三项职工月工资低于3235元按3235基数比例计算，职工月工资高于3235元/月按实际工资基数比例计算)。医疗保险费缴纳基数比例9.5%,大病保险缴费基0.25%（前二项缴纳基数4611元/月按比例计算），公司报本年度缴纳社保合计1026233.83元（其中生产制造费用社保893859.90元、管理费用社保132373.93元），是按当地政府缴纳五金比例规定测算缴纳的，据实核入成本。</w:t>
      </w:r>
    </w:p>
    <w:p w14:paraId="66A9BDD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住房公积金：公司报年缴纳合计464976元（其中生产制造费用住房公积金403543.20元、管理费用住房公积金61432.80元），根据当地政府规定不得超过职工工资的12%，年工资总额4279878.15元，按规定测算为513583.378元（4279878.15元×12%），未超过规定、据实核入成本。</w:t>
      </w:r>
    </w:p>
    <w:p w14:paraId="0D7AFD7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6、固定资产折旧费：公司报年折旧费6120048.56元，根据自治区发展改革委关于印发(自治区城镇供热定价成本监审暂行办法）的通知（新发改规[2021]7号)第十五条、第（二）项规定：固定资产折旧采用年限平均法，折旧年限根据固定资产的性质，设计使用年限和行业规范，并考虑资产使用状况合理核定（详见附表），根据规定的残值率比例、折旧年限，进行了测算固定资产折旧核定为4434652.76元，核减1685395.76元（6120048.56元-4434652.76元）。</w:t>
      </w:r>
    </w:p>
    <w:p w14:paraId="1958958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7、修理费：公司报年修理费合计585858.12元（其中生产制造费用修理费576382.12元、管理费用修理费9476元），根据关于印发《自治区城市供热定价成本监审暂行办法》的通知（新发改成本〔2017〕482号）第十八条规定：修理费是指供热企业为维持热力正常生产和输送运行需要发生的大修理费和日常维护费用。其中：大修理费采用预提方式的，年预提额不得超过核定的固定资产原值的1%-1.6%，且实际大修理支出不再重复计入有关成本费用中；日常修理费据实核算。日常修理费和大修理费支出合计最高不得超过核定的固定资产原值的2%。2021年固定资产原值85014169.64元，未超过规定据实核入成本。</w:t>
      </w:r>
    </w:p>
    <w:p w14:paraId="5D5EAD8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8、工会及教育经费：公司报81320.16元,未超出关于印发《自治区城市供热定价成本监审暂行办法》的通知（新发改成本〔2017〕482号）第十五条规定、工会经费、职工教育经费分别按照核定工资总额的2%和2.5%核算（核定工资4279878.15元），据实核入成本。</w:t>
      </w:r>
    </w:p>
    <w:p w14:paraId="72C7B7D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9、业务招待费：公司报20901元未超出关于印发《自治区城市供热定价成本监审暂行办法》的通知（新发改成本〔2017〕482号）第十七条规定、业务招待费原则上按照发生额的60%核定但不得超过当年主营业务收入的5‰,据实核入成本。</w:t>
      </w:r>
    </w:p>
    <w:p w14:paraId="1A55370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10、财务费用：-34356.15元，税金及附加：380492.05元据实核入成本。</w:t>
      </w:r>
    </w:p>
    <w:p w14:paraId="0F9D1EB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11、合计核减1699602.56元。</w:t>
      </w:r>
    </w:p>
    <w:p w14:paraId="5D7C69E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12、主营业务成本核定为34929998.16元(公司报总成本36629600.72元-1699602.56元)。</w:t>
      </w:r>
    </w:p>
    <w:p w14:paraId="4264C73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13、主营业务单位成本核定为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27.20元/㎡·采暖期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（成本34929998.16元÷核定供暖面积1284220.92㎡）。   </w:t>
      </w:r>
    </w:p>
    <w:p w14:paraId="7DB7770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14、核定主营业务应收入：40452958.98元。</w:t>
      </w:r>
    </w:p>
    <w:p w14:paraId="44078B0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15、年度主营业务净收入5522960.82元（核定主营业务应收入40452958.98元-核定成本34929998.16元）。</w:t>
      </w:r>
    </w:p>
    <w:p w14:paraId="557AD58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16、营业外净收入1790454.74元（收入1823794.74元-支出33340元）。</w:t>
      </w:r>
    </w:p>
    <w:p w14:paraId="1AA3509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17、营业外净收入冲减主营业成本后年成本为33139543.42元（34929998.16元-1790454.74元）。</w:t>
      </w:r>
    </w:p>
    <w:p w14:paraId="24F7FE0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18、供热收入核增：9850896.04元（核定收入40452958.98元-已收入30602062.94元）。</w:t>
      </w:r>
    </w:p>
    <w:p w14:paraId="19620D4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19、年盈利7313415.56元（主营业务净利润5522960.8元+营业外净利润1790454.74元）。</w:t>
      </w:r>
    </w:p>
    <w:p w14:paraId="15F5ACE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20、冲减后供热单位成本为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25.8052元/㎡·采暖期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（成本33139543.42元÷核定供暖面积1284220.92㎡）。                        </w:t>
      </w:r>
    </w:p>
    <w:p w14:paraId="6984E315">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 w:hAnsi="仿宋" w:eastAsia="仿宋" w:cs="仿宋"/>
          <w:b/>
          <w:bCs/>
          <w:color w:val="FF0000"/>
          <w:kern w:val="0"/>
          <w:sz w:val="32"/>
          <w:szCs w:val="32"/>
          <w:lang w:val="en-US" w:eastAsia="zh-CN"/>
        </w:rPr>
        <w:t>（二）</w:t>
      </w:r>
      <w:r>
        <w:rPr>
          <w:rFonts w:hint="default" w:ascii="仿宋_GB2312" w:hAnsi="宋体" w:eastAsia="仿宋_GB2312" w:cs="仿宋_GB2312"/>
          <w:b/>
          <w:bCs/>
          <w:i w:val="0"/>
          <w:iCs w:val="0"/>
          <w:caps w:val="0"/>
          <w:color w:val="000000"/>
          <w:spacing w:val="0"/>
          <w:sz w:val="32"/>
          <w:szCs w:val="32"/>
          <w:shd w:val="clear" w:color="auto" w:fill="FFFFFF"/>
          <w:lang w:val="en-US" w:eastAsia="zh-CN"/>
        </w:rPr>
        <w:t>202</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2年度采暖期</w:t>
      </w:r>
    </w:p>
    <w:p w14:paraId="3067DAC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供热面积的核定：公司填报供暖面积1423288.57平方米、报停面积106883.39平方米、报停收入802658.178元、过水热收热费314940元，依据自治区发展改革委关于印发《自治区城镇供热定价成本监审暂行办法》的通知（新发改规[2021]7号)第二十条</w:t>
      </w:r>
      <w:r>
        <w:rPr>
          <w:rFonts w:hint="default" w:ascii="仿宋_GB2312" w:hAnsi="宋体" w:eastAsia="仿宋_GB2312" w:cs="仿宋_GB2312"/>
          <w:i w:val="0"/>
          <w:iCs w:val="0"/>
          <w:caps w:val="0"/>
          <w:color w:val="000000"/>
          <w:spacing w:val="0"/>
          <w:sz w:val="32"/>
          <w:szCs w:val="32"/>
          <w:shd w:val="clear" w:color="auto" w:fill="FFFFFF"/>
          <w:lang w:val="en-US" w:eastAsia="zh-CN"/>
        </w:rPr>
        <w:t>供热量（供热面积）按照监审期间年度平均水平，剔除不合理因素并适当参考监审期间变化核定。实行热计量计费的,按售热量（供热量减合理损耗）核定;未实行热计量计费的,按实际供热面积核定。供热面积是指经营者供热区域内各类用户实际入网面积的总和，供热面积中报停面积（政策允许收取过热费的），按收取费用比例折算面积，计入核定供热面积中。</w:t>
      </w:r>
    </w:p>
    <w:p w14:paraId="5DB9961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经测算实际供暖面积核定为1351884.49平方米【1423288.57㎡-报停106883.39㎡+报停过水热收入折算面积35479.31㎡[（报停收入802658.178元+过水热收热费314940元）÷31.5元/㎡]】。</w:t>
      </w:r>
    </w:p>
    <w:p w14:paraId="3A8C699D">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2、核定供热应收入42584361.44元（1351884.49㎡×31.5元）。</w:t>
      </w:r>
    </w:p>
    <w:p w14:paraId="1057FE6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核增企业供热收入：17230243.25元（企业应收42584361.44元-企业实收25354118.19元）。</w:t>
      </w:r>
    </w:p>
    <w:p w14:paraId="1EE4A37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3、人员工资的核定：年职工人数55人，公司报工资总额4772515.00元（其中生产人员4100845.03元+管理人员671669.97元），根据自治区发展改革委关于印发《自治区城镇供热定价成本监审暂行办法》的通知（新发改规[2021]7号)第十七条、第（三）项规定：职工工资总额按照职工平均工资与职工人数核定，职工平均工资，原则上据实核定，但不得超过统计部门公布的当地行业职工平均工资水平，2022年塔城地区统计局提供的全区城镇单位就业人员年平均工资87873元/年，单位自报：工资总额4772515.00元,人均工资86773元（4772515.00元÷55人）。人均工资未超过规定，据实核入成本。</w:t>
      </w:r>
    </w:p>
    <w:p w14:paraId="2441766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4、职工福利费：单位自报：25717元（其中生产费用25717元+管理费用0元），根据自治区发展改革委关于印发《自治区城镇供热定价成本监审暂行办法》的通知（新发改规[2021]7号)第十五条、工会经费职工教育局费分别核定工资总额的2%和2.5%核算：职工福利费原则上据实核算，但最高不得超过核定工资总额的14%，未超过核定工资总额的14%，据实核入成本。</w:t>
      </w:r>
    </w:p>
    <w:p w14:paraId="1D27D365">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5、社会保障保险：根据关于印发</w:t>
      </w:r>
      <w:r>
        <w:rPr>
          <w:rFonts w:hint="eastAsia" w:ascii="仿宋" w:hAnsi="仿宋" w:eastAsia="仿宋" w:cs="仿宋"/>
          <w:color w:val="000000"/>
          <w:sz w:val="32"/>
          <w:szCs w:val="32"/>
          <w:shd w:val="clear" w:color="auto" w:fill="FFFFFF"/>
          <w:lang w:eastAsia="zh-CN"/>
        </w:rPr>
        <w:t>根据关于印发《自治区城市供热定价成本监审暂行办法》的通知（新发改成本（</w:t>
      </w:r>
      <w:r>
        <w:rPr>
          <w:rFonts w:hint="eastAsia" w:ascii="仿宋" w:hAnsi="仿宋" w:eastAsia="仿宋" w:cs="仿宋"/>
          <w:color w:val="000000"/>
          <w:sz w:val="32"/>
          <w:szCs w:val="32"/>
          <w:shd w:val="clear" w:color="auto" w:fill="FFFFFF"/>
          <w:lang w:val="en-US"/>
        </w:rPr>
        <w:t>2017</w:t>
      </w:r>
      <w:r>
        <w:rPr>
          <w:rFonts w:hint="eastAsia" w:ascii="仿宋" w:hAnsi="仿宋" w:eastAsia="仿宋" w:cs="仿宋"/>
          <w:color w:val="000000"/>
          <w:sz w:val="32"/>
          <w:szCs w:val="32"/>
          <w:shd w:val="clear" w:color="auto" w:fill="FFFFFF"/>
          <w:lang w:eastAsia="zh-CN"/>
        </w:rPr>
        <w:t>）</w:t>
      </w:r>
      <w:r>
        <w:rPr>
          <w:rFonts w:hint="eastAsia" w:ascii="仿宋" w:hAnsi="仿宋" w:eastAsia="仿宋" w:cs="仿宋"/>
          <w:color w:val="000000"/>
          <w:sz w:val="32"/>
          <w:szCs w:val="32"/>
          <w:shd w:val="clear" w:color="auto" w:fill="FFFFFF"/>
          <w:lang w:val="en-US"/>
        </w:rPr>
        <w:t>482</w:t>
      </w:r>
      <w:r>
        <w:rPr>
          <w:rFonts w:hint="eastAsia" w:ascii="仿宋" w:hAnsi="仿宋" w:eastAsia="仿宋" w:cs="仿宋"/>
          <w:color w:val="000000"/>
          <w:sz w:val="32"/>
          <w:szCs w:val="32"/>
          <w:shd w:val="clear" w:color="auto" w:fill="FFFFFF"/>
          <w:lang w:eastAsia="zh-CN"/>
        </w:rPr>
        <w:t>号）第十六条及</w:t>
      </w:r>
      <w:r>
        <w:rPr>
          <w:rFonts w:hint="eastAsia" w:ascii="仿宋_GB2312" w:hAnsi="宋体" w:eastAsia="仿宋_GB2312" w:cs="仿宋_GB2312"/>
          <w:i w:val="0"/>
          <w:iCs w:val="0"/>
          <w:caps w:val="0"/>
          <w:color w:val="000000"/>
          <w:spacing w:val="0"/>
          <w:sz w:val="32"/>
          <w:szCs w:val="32"/>
          <w:shd w:val="clear" w:color="auto" w:fill="FFFFFF"/>
          <w:lang w:val="en-US" w:eastAsia="zh-CN"/>
        </w:rPr>
        <w:t>《自治区城镇供热定价成本监审暂行办法》的通知（新发改规[2021]7号)第十</w:t>
      </w:r>
      <w:r>
        <w:rPr>
          <w:rFonts w:hint="eastAsia" w:ascii="仿宋_GB2312" w:eastAsia="仿宋_GB2312" w:cs="仿宋_GB2312"/>
          <w:i w:val="0"/>
          <w:iCs w:val="0"/>
          <w:caps w:val="0"/>
          <w:color w:val="000000"/>
          <w:spacing w:val="0"/>
          <w:sz w:val="32"/>
          <w:szCs w:val="32"/>
          <w:shd w:val="clear" w:color="auto" w:fill="FFFFFF"/>
          <w:lang w:val="en-US" w:eastAsia="zh-CN"/>
        </w:rPr>
        <w:t>七</w:t>
      </w:r>
      <w:r>
        <w:rPr>
          <w:rFonts w:hint="eastAsia" w:ascii="仿宋_GB2312" w:hAnsi="宋体" w:eastAsia="仿宋_GB2312" w:cs="仿宋_GB2312"/>
          <w:i w:val="0"/>
          <w:iCs w:val="0"/>
          <w:caps w:val="0"/>
          <w:color w:val="000000"/>
          <w:spacing w:val="0"/>
          <w:sz w:val="32"/>
          <w:szCs w:val="32"/>
          <w:shd w:val="clear" w:color="auto" w:fill="FFFFFF"/>
          <w:lang w:val="en-US" w:eastAsia="zh-CN"/>
        </w:rPr>
        <w:t>条</w:t>
      </w:r>
      <w:r>
        <w:rPr>
          <w:rFonts w:hint="eastAsia" w:ascii="仿宋_GB2312" w:eastAsia="仿宋_GB2312" w:cs="仿宋_GB2312"/>
          <w:i w:val="0"/>
          <w:iCs w:val="0"/>
          <w:caps w:val="0"/>
          <w:color w:val="000000"/>
          <w:spacing w:val="0"/>
          <w:sz w:val="32"/>
          <w:szCs w:val="32"/>
          <w:shd w:val="clear" w:color="auto" w:fill="FFFFFF"/>
          <w:lang w:val="en-US" w:eastAsia="zh-CN"/>
        </w:rPr>
        <w:t>（第三项）、</w:t>
      </w:r>
      <w:r>
        <w:rPr>
          <w:rFonts w:hint="eastAsia" w:ascii="仿宋_GB2312" w:hAnsi="宋体" w:eastAsia="仿宋_GB2312" w:cs="仿宋_GB2312"/>
          <w:i w:val="0"/>
          <w:iCs w:val="0"/>
          <w:caps w:val="0"/>
          <w:color w:val="000000"/>
          <w:spacing w:val="0"/>
          <w:sz w:val="32"/>
          <w:szCs w:val="32"/>
          <w:shd w:val="clear" w:color="auto" w:fill="FFFFFF"/>
          <w:lang w:val="en-US" w:eastAsia="zh-CN"/>
        </w:rPr>
        <w:t>社会保险费中的养老保险、医疗保险、失业保险、工伤保险、生育保险及住房公积金分别按核定的工资总额以及国家或当地政府规定的缴费比例核定。公司报当地政府规定的公司缴纳比例：本年度养老保险缴纳基数16%,失业金缴纳基数0.5%、工伤保险缴纳基数比例1-3月0.86%,4-12月0.9%( 前三项职工月工资低于3681元按3681基数比例计算，职工月工资高于3681元/月按实际工资基数比例计算)、医疗保险费按当地政府规定缴纳基数3919元/月的比例8%缴纳、大额医疗保险按当地政府规定的比例0.25%缴纳（前二项缴纳基数3919元/月按比例计算），公司报本年度缴纳社保合计1027048.61元（其中生产制造费用社保897168.83元、管理费用社保129879.78元），是按当地政府缴纳五金比例规定测算缴纳的，据实核入成本。</w:t>
      </w:r>
    </w:p>
    <w:p w14:paraId="4DC4E813">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住房公积金：公司报年缴纳合计464113.00元（其中生产制造费用住房公积金412296.00元、管理费用住房公积金51817.00元），根据当地政府规定不得超过职工工资的12%，年工资总额4772515.00元（4100845.03+671669.97），按规定测算为572701.80元（4772515.00×12%），未超过规定、据实核入成本。</w:t>
      </w:r>
    </w:p>
    <w:p w14:paraId="429DDD03">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6、固定资产折旧费：公司报年折旧费7778553.51元，根据自治区发展改革委关于印发(自治区城镇供热定价成本监审暂行办法）的通知（新发改规[2021]7号)第十五条、第（二）项规定：固定资产折旧采用年限平均法，折旧年限根据固定资产的性质，设计使用年限和行业规范，并考虑资产使用状况合理核定（详见附表），根据规定的残值率比例、折旧年限，进行了测算固定资产折旧核定为5806626.20元，核减1971927.31元（7778553.51元-5806626.20元）。</w:t>
      </w:r>
    </w:p>
    <w:p w14:paraId="608544F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7、修理费：公司报年修理费合计1389445.09元（其中生产制造费用修理费1345327.62元、管理费用修理费35097.47元+9020元），根据关于印发《自治区城市供热定价成本监审暂行办法》的通知（新发改成本〔2017〕482号）第十八条规定：修理费是指供热企业为维持热力正常生产和输送运行需要发生的大修理费和日常维护费用。其中：大修理费采用预提方式的，年预提额不得超过核定的固定资产原值的1%-1.6%，且实际大修理支出不再重复计入有关成本费用中；日常修理费据实核算。日常修理费和大修理费支出合计最高不得超过核定的固定资产原值的2%。2022年固定资产原值86393757.33元，未超过规定据实核入成本。</w:t>
      </w:r>
    </w:p>
    <w:p w14:paraId="768009F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8、工会及教育经费：公司报77694.40元,未超出关于印发《自治区城市供热定价成本监审暂行办法》的通知（新发改成本〔2017〕482号）第十五条规定、工会经费、职工教育经费分别按照核定工资总额的2%和2.5%核算（核定工资4772515.00元），据实核入成本。</w:t>
      </w:r>
    </w:p>
    <w:p w14:paraId="216BA52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9、业务招待费本年度未发生。</w:t>
      </w:r>
    </w:p>
    <w:p w14:paraId="1680EAF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10、财务费用：176790.00元，税金及附加：380626.03元据实核入成本。</w:t>
      </w:r>
    </w:p>
    <w:p w14:paraId="5B742D7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11、合计核减2153405.44元。</w:t>
      </w:r>
    </w:p>
    <w:p w14:paraId="769FD385">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12、主营业务成本核定为41444190.21元(公司报总成本43597595.35元-2153405.14元)。</w:t>
      </w:r>
    </w:p>
    <w:p w14:paraId="6290C6E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13、主营业务单位成本核定为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30.66元/㎡·采暖期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（成本41444190.21元÷核定供暖面积1351884.49㎡）。   </w:t>
      </w:r>
    </w:p>
    <w:p w14:paraId="2FF0965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14、核定主营业务应收入：42584361.44元。</w:t>
      </w:r>
    </w:p>
    <w:p w14:paraId="717AA08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15、年度主营业务净收入1140171.23元（核定主营业务应收入42584361.44元-核定成本41444190.21元）。</w:t>
      </w:r>
    </w:p>
    <w:p w14:paraId="5E37CD4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16、营业外净收入8016272.73元（收入8022766.71元-支出6493.98元）。</w:t>
      </w:r>
    </w:p>
    <w:p w14:paraId="3B8AE7E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17、营业外净收入冲减主营业成本后年成本为33427917.48元（41444190.21元-8016272.73元）。</w:t>
      </w:r>
    </w:p>
    <w:p w14:paraId="0130E56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18、供热收入核增：17230243.25元（核定收入42584361.44元-已收入25354118.19元）。</w:t>
      </w:r>
    </w:p>
    <w:p w14:paraId="3B648B6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19、年盈利9156443.96元（主营业务净利润1140171.23元+营业外净利润8016272.73元）。</w:t>
      </w:r>
    </w:p>
    <w:p w14:paraId="2E05422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20、冲减后供热单位成本为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24.73元/㎡·采暖期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（成本33427917.48元÷核定供暖面积1351884.49㎡）。 </w:t>
      </w:r>
    </w:p>
    <w:p w14:paraId="56289A38">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 w:hAnsi="仿宋" w:eastAsia="仿宋" w:cs="仿宋"/>
          <w:b/>
          <w:bCs/>
          <w:color w:val="FF0000"/>
          <w:kern w:val="0"/>
          <w:sz w:val="32"/>
          <w:szCs w:val="32"/>
          <w:lang w:val="en-US" w:eastAsia="zh-CN"/>
        </w:rPr>
        <w:t>（三）</w:t>
      </w:r>
      <w:r>
        <w:rPr>
          <w:rFonts w:hint="default" w:ascii="仿宋_GB2312" w:hAnsi="宋体" w:eastAsia="仿宋_GB2312" w:cs="仿宋_GB2312"/>
          <w:b/>
          <w:bCs/>
          <w:i w:val="0"/>
          <w:iCs w:val="0"/>
          <w:caps w:val="0"/>
          <w:color w:val="000000"/>
          <w:spacing w:val="0"/>
          <w:sz w:val="32"/>
          <w:szCs w:val="32"/>
          <w:shd w:val="clear" w:color="auto" w:fill="FFFFFF"/>
          <w:lang w:val="en-US" w:eastAsia="zh-CN"/>
        </w:rPr>
        <w:t>202</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3年度采暖期</w:t>
      </w:r>
    </w:p>
    <w:p w14:paraId="674449B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供热面积的核定：公司填报供暖面积1461863.97平方米、报停面积137596.20平方米、报停收入1036342.125元、过水热收费242640元，依据自治区发展改革委关于印发《自治区城镇供热定价成本监审暂行办法》的通知（新发改规[2021]7号)第二十条</w:t>
      </w:r>
      <w:r>
        <w:rPr>
          <w:rFonts w:hint="default" w:ascii="仿宋_GB2312" w:hAnsi="宋体" w:eastAsia="仿宋_GB2312" w:cs="仿宋_GB2312"/>
          <w:i w:val="0"/>
          <w:iCs w:val="0"/>
          <w:caps w:val="0"/>
          <w:color w:val="000000"/>
          <w:spacing w:val="0"/>
          <w:sz w:val="32"/>
          <w:szCs w:val="32"/>
          <w:shd w:val="clear" w:color="auto" w:fill="FFFFFF"/>
          <w:lang w:val="en-US" w:eastAsia="zh-CN"/>
        </w:rPr>
        <w:t>供热量（供热面积）按照监审期间年度平均水平，剔除不合理因素并适当参考监审期间变化核定。实行热计量计费的,按售热量（供热量减合理损耗）核定;未实行热计量计费的,按实际供热面积核定。供热面积是指经营者供热区域内各类用户实际入网面积的总和，供热面积中报停面积（政策允许收取过热费的），按收取费用比例折算面积，计入核定供热面积中。</w:t>
      </w:r>
    </w:p>
    <w:p w14:paraId="3245988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经测算实际供暖面积核定为1364869.84平方米【1461863.97㎡-报停137596.20㎡+报停过水热收入折算面积40602.61㎡[（报停收入1036342.13元+过水热收费242640元）÷31.5元/㎡]】。</w:t>
      </w:r>
    </w:p>
    <w:p w14:paraId="0072247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2、核定供热应收入42993399.96元（1364869.84㎡×31.5元）。企业实际收入暖气费46545615.65元（包括历年欠收暖气费）</w:t>
      </w:r>
    </w:p>
    <w:p w14:paraId="38EC2EE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3、人员工资的核定：年职工人数52人，公司报工资总额4543421.00元（其中生产人员3949380.00元+管理人员594041.00元），根据自治区发展改革委关于印发《自治区城镇供热定价成本监审暂行办法》的通知（新发改规[2021]7号)第十七条、第（三）项规定：职工工资总额按照职工平均工资与职工人数核定，职工平均工资，原则上据实核定，但不得超过统计部门公布的当地行业职工平均工资水平，2023年塔城地区统计局提供的全区城镇单位就业人员年平均工资90210元/年，单位自报：工资总额4543421.00元,人均工资87373.48元（4543421.00元÷52人）。人均工资未超过规定，据实核入成本。</w:t>
      </w:r>
    </w:p>
    <w:p w14:paraId="6D9625C3">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4、职工福利费：单位自报：1582元，根据自治区发展改革委关于印发《自治区城镇供热定价成本监审暂行办法》的通知（新发改规[2021]7号)第十五条、工会经费职工教育局费分别核定工资总额的2%和2.5%核算：职工福利费原则上据实核算，但最高不得超过核定工资总额的14%，未超过核定工资总额的14%，据实核入成本。</w:t>
      </w:r>
    </w:p>
    <w:p w14:paraId="49280DE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5、社会保障保险：根据关于印发</w:t>
      </w:r>
      <w:r>
        <w:rPr>
          <w:rFonts w:hint="eastAsia" w:ascii="仿宋" w:hAnsi="仿宋" w:eastAsia="仿宋" w:cs="仿宋"/>
          <w:color w:val="000000"/>
          <w:sz w:val="32"/>
          <w:szCs w:val="32"/>
          <w:shd w:val="clear" w:color="auto" w:fill="FFFFFF"/>
          <w:lang w:eastAsia="zh-CN"/>
        </w:rPr>
        <w:t>根据关于印发《自治区城市供热定价成本监审暂行办法》的通知（新发改成本（</w:t>
      </w:r>
      <w:r>
        <w:rPr>
          <w:rFonts w:hint="eastAsia" w:ascii="仿宋" w:hAnsi="仿宋" w:eastAsia="仿宋" w:cs="仿宋"/>
          <w:color w:val="000000"/>
          <w:sz w:val="32"/>
          <w:szCs w:val="32"/>
          <w:shd w:val="clear" w:color="auto" w:fill="FFFFFF"/>
          <w:lang w:val="en-US"/>
        </w:rPr>
        <w:t>2017</w:t>
      </w:r>
      <w:r>
        <w:rPr>
          <w:rFonts w:hint="eastAsia" w:ascii="仿宋" w:hAnsi="仿宋" w:eastAsia="仿宋" w:cs="仿宋"/>
          <w:color w:val="000000"/>
          <w:sz w:val="32"/>
          <w:szCs w:val="32"/>
          <w:shd w:val="clear" w:color="auto" w:fill="FFFFFF"/>
          <w:lang w:eastAsia="zh-CN"/>
        </w:rPr>
        <w:t>）</w:t>
      </w:r>
      <w:r>
        <w:rPr>
          <w:rFonts w:hint="eastAsia" w:ascii="仿宋" w:hAnsi="仿宋" w:eastAsia="仿宋" w:cs="仿宋"/>
          <w:color w:val="000000"/>
          <w:sz w:val="32"/>
          <w:szCs w:val="32"/>
          <w:shd w:val="clear" w:color="auto" w:fill="FFFFFF"/>
          <w:lang w:val="en-US"/>
        </w:rPr>
        <w:t>482</w:t>
      </w:r>
      <w:r>
        <w:rPr>
          <w:rFonts w:hint="eastAsia" w:ascii="仿宋" w:hAnsi="仿宋" w:eastAsia="仿宋" w:cs="仿宋"/>
          <w:color w:val="000000"/>
          <w:sz w:val="32"/>
          <w:szCs w:val="32"/>
          <w:shd w:val="clear" w:color="auto" w:fill="FFFFFF"/>
          <w:lang w:eastAsia="zh-CN"/>
        </w:rPr>
        <w:t>号）第十六条及</w:t>
      </w:r>
      <w:r>
        <w:rPr>
          <w:rFonts w:hint="eastAsia" w:ascii="仿宋_GB2312" w:hAnsi="宋体" w:eastAsia="仿宋_GB2312" w:cs="仿宋_GB2312"/>
          <w:i w:val="0"/>
          <w:iCs w:val="0"/>
          <w:caps w:val="0"/>
          <w:color w:val="000000"/>
          <w:spacing w:val="0"/>
          <w:sz w:val="32"/>
          <w:szCs w:val="32"/>
          <w:shd w:val="clear" w:color="auto" w:fill="FFFFFF"/>
          <w:lang w:val="en-US" w:eastAsia="zh-CN"/>
        </w:rPr>
        <w:t>《自治区城镇供热定价成本监审暂行办法》的通知（新发改规[2021]7号)第十</w:t>
      </w:r>
      <w:r>
        <w:rPr>
          <w:rFonts w:hint="eastAsia" w:ascii="仿宋_GB2312" w:eastAsia="仿宋_GB2312" w:cs="仿宋_GB2312"/>
          <w:i w:val="0"/>
          <w:iCs w:val="0"/>
          <w:caps w:val="0"/>
          <w:color w:val="000000"/>
          <w:spacing w:val="0"/>
          <w:sz w:val="32"/>
          <w:szCs w:val="32"/>
          <w:shd w:val="clear" w:color="auto" w:fill="FFFFFF"/>
          <w:lang w:val="en-US" w:eastAsia="zh-CN"/>
        </w:rPr>
        <w:t>七</w:t>
      </w:r>
      <w:r>
        <w:rPr>
          <w:rFonts w:hint="eastAsia" w:ascii="仿宋_GB2312" w:hAnsi="宋体" w:eastAsia="仿宋_GB2312" w:cs="仿宋_GB2312"/>
          <w:i w:val="0"/>
          <w:iCs w:val="0"/>
          <w:caps w:val="0"/>
          <w:color w:val="000000"/>
          <w:spacing w:val="0"/>
          <w:sz w:val="32"/>
          <w:szCs w:val="32"/>
          <w:shd w:val="clear" w:color="auto" w:fill="FFFFFF"/>
          <w:lang w:val="en-US" w:eastAsia="zh-CN"/>
        </w:rPr>
        <w:t>条</w:t>
      </w:r>
      <w:r>
        <w:rPr>
          <w:rFonts w:hint="eastAsia" w:ascii="仿宋_GB2312" w:eastAsia="仿宋_GB2312" w:cs="仿宋_GB2312"/>
          <w:i w:val="0"/>
          <w:iCs w:val="0"/>
          <w:caps w:val="0"/>
          <w:color w:val="000000"/>
          <w:spacing w:val="0"/>
          <w:sz w:val="32"/>
          <w:szCs w:val="32"/>
          <w:shd w:val="clear" w:color="auto" w:fill="FFFFFF"/>
          <w:lang w:val="en-US" w:eastAsia="zh-CN"/>
        </w:rPr>
        <w:t>（第三项）、</w:t>
      </w:r>
      <w:r>
        <w:rPr>
          <w:rFonts w:hint="eastAsia" w:ascii="仿宋_GB2312" w:hAnsi="宋体" w:eastAsia="仿宋_GB2312" w:cs="仿宋_GB2312"/>
          <w:i w:val="0"/>
          <w:iCs w:val="0"/>
          <w:caps w:val="0"/>
          <w:color w:val="000000"/>
          <w:spacing w:val="0"/>
          <w:sz w:val="32"/>
          <w:szCs w:val="32"/>
          <w:shd w:val="clear" w:color="auto" w:fill="FFFFFF"/>
          <w:lang w:val="en-US" w:eastAsia="zh-CN"/>
        </w:rPr>
        <w:t>社会保险费中的养老保险、医疗保险、失业保险、工伤保险、生育保险及住房公积金分别按核定的工资总额以及国家或当地政府规定的缴费比例核定。公司报当地政府规定的公司缴纳比例：本年度养老保险缴纳基数16%,失业金缴纳基数0.5%、工伤保险缴纳基数比例1-3月0.9%,4-12月0.83%(前三项职工月工资低于4575元按4575基数比例计算，职工月工资高于4575元/月按实际工资基数比例计算)、医疗保险费按当地政府规定缴纳基数4575元/月的比例8%缴纳、大额医疗保险按当地政府规定的比例0.25%缴纳，公司报本年度缴纳社保合计1020566.53元（其中生产制造费用社保895437.04元、管理费用社保125129.49元），是按当地政府缴纳五金比例规定测算缴纳的，据实核入成本。</w:t>
      </w:r>
    </w:p>
    <w:p w14:paraId="66638CA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住房公积金：公司报年缴纳合计458698.00元（其中生产制造费用住房公积金410362.00元、管理费用住房公积金48336.00元），根据当地政府规定不得超过职工工资的12%，年工资总额4543421.00元（3949380+594041），按规定测算为54521.52元（4543421.00×12%），未超过规定、据实核入成本。</w:t>
      </w:r>
    </w:p>
    <w:p w14:paraId="311CD85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6、固定资产折旧费：公司报年折旧费7792332.04元，根据自治区发展改革委关于印发(自治区城镇供热定价成本监审暂行办法）的通知（新发改规[2021]7号)第十五条、第（二）项规定：固定资产折旧采用年限平均法，折旧年限根据固定资产的性质，设计使用年限和行业规范，并考虑资产使用状况合理核定（详见附表），根据规定的残值率比例、折旧年限，进行了测算固定资产折旧核定为5806626.20元，核减1985705.84元（7792332.04元-5806626.20元）。</w:t>
      </w:r>
    </w:p>
    <w:p w14:paraId="3018E6E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7、修理费：公司报年修理费合计2291694.45元（其中生产制造费用修理费2243534.39元、管理费用修理费32345.06元+15815元），根据关于印发《自治区城市供热定价成本监审暂行办法》的通知（新发改成本〔2017〕482号）第十八条规定：修理费是指供热企业为维持热力正常生产和输送运行需要发生的大修理费和日常维护费用。其中：大修理费采用预提方式的，年预提额不得超过核定的固定资产原值的1%-1.6%，且实际大修理支出不再重复计入有关成本费用中；日常修理费据实核算。日常修理费和大修理费支出合计最高不得超过核定的固定资产原值的2%。经计算超过规定据实核入成本（2023年固定资产原值106910319.09元×2%=2138206.38元，修理费予以核减105328.01元（2243534.39-2138206.38）。检修费予以核减32345.06元。日常修理费予以核减15815元。</w:t>
      </w:r>
    </w:p>
    <w:p w14:paraId="3A924AC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8、工会及教育经费：公司报83806.38元,未超出关于印发《自治区城市供热定价成本监审暂行办法》的通知（新发改成本〔2017〕482号）第十五条规定、工会经费、职工教育经费分别按照核定工资总额的2%和2.5%核算（核定工资4543421.00元），据实核入成本。</w:t>
      </w:r>
    </w:p>
    <w:p w14:paraId="52B73BC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9、业务招待费：公司报1067元未超出关于印发《自治区城市供热定价成本监审暂行办法》的通知（新发改成本〔2017〕482号）第十七条规定、业务招待费原则上按照发生额的60%核定但不得超过当年主营业务收入的5‰,据实核入成本。</w:t>
      </w:r>
    </w:p>
    <w:p w14:paraId="3BB34FB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10、财务费用：238417.44元，税金及附加：357136.81元据实核入成本。</w:t>
      </w:r>
    </w:p>
    <w:p w14:paraId="7680A4B6">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11、合计核减2139193.90元。</w:t>
      </w:r>
    </w:p>
    <w:p w14:paraId="3E2B282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12、主营业务成本核定为56400621.16元(公司报总成本58539815.06元-2139193.90元)。</w:t>
      </w:r>
    </w:p>
    <w:p w14:paraId="473E251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13、主营业务单位成本核定为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41.32元/㎡·采暖期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（成本56400621.16元÷核定供暖面积1364869.84㎡）。   </w:t>
      </w:r>
    </w:p>
    <w:p w14:paraId="1FC1D6D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default"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14、核定主营业务应收入：42993399.96元。</w:t>
      </w:r>
    </w:p>
    <w:p w14:paraId="4BC3C90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15、年度主营业务利润（亏损）-13407221.20元（核定主营业务应收入42993399.96元-核定成本56400621.16元）。</w:t>
      </w:r>
    </w:p>
    <w:p w14:paraId="1482A6C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16、营业外净收入5696824.19元（收入5926405.76元-支出229581.57元）。</w:t>
      </w:r>
    </w:p>
    <w:p w14:paraId="76F2FAE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17、营业外净收入冲减主营业成本后年成本为50703796.97元（56400621.16元-5696824.19元）。</w:t>
      </w:r>
    </w:p>
    <w:p w14:paraId="31A5236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18、冲减后供热单位成本为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37.15元/㎡·采暖期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（成本50703796.97元÷核定供暖面积1364869.84㎡）。</w:t>
      </w:r>
    </w:p>
    <w:p w14:paraId="4BA0139A">
      <w:pPr>
        <w:keepNext w:val="0"/>
        <w:keepLines w:val="0"/>
        <w:pageBreakBefore w:val="0"/>
        <w:widowControl/>
        <w:numPr>
          <w:ilvl w:val="0"/>
          <w:numId w:val="1"/>
        </w:numPr>
        <w:shd w:val="clear" w:color="auto" w:fill="FFFFFF"/>
        <w:kinsoku/>
        <w:wordWrap/>
        <w:overflowPunct/>
        <w:topLinePunct w:val="0"/>
        <w:autoSpaceDE/>
        <w:autoSpaceDN/>
        <w:bidi w:val="0"/>
        <w:adjustRightInd/>
        <w:snapToGrid/>
        <w:spacing w:line="500" w:lineRule="exact"/>
        <w:ind w:firstLine="643" w:firstLineChars="200"/>
        <w:jc w:val="left"/>
        <w:textAlignment w:val="auto"/>
        <w:rPr>
          <w:rFonts w:hint="eastAsia" w:ascii="仿宋" w:hAnsi="仿宋" w:eastAsia="仿宋" w:cs="仿宋"/>
          <w:b/>
          <w:bCs/>
          <w:color w:val="000000"/>
          <w:kern w:val="0"/>
          <w:sz w:val="32"/>
          <w:szCs w:val="32"/>
          <w:lang w:val="en-US" w:eastAsia="zh-CN"/>
        </w:rPr>
      </w:pPr>
      <w:r>
        <w:rPr>
          <w:rFonts w:hint="eastAsia" w:ascii="仿宋" w:hAnsi="仿宋" w:eastAsia="仿宋" w:cs="仿宋"/>
          <w:b/>
          <w:bCs/>
          <w:color w:val="000000"/>
          <w:kern w:val="0"/>
          <w:sz w:val="32"/>
          <w:szCs w:val="32"/>
          <w:lang w:val="en-US" w:eastAsia="zh-CN"/>
        </w:rPr>
        <w:t>成本审核的结论</w:t>
      </w:r>
    </w:p>
    <w:p w14:paraId="46A4B33F">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2"/>
          <w:sz w:val="32"/>
          <w:szCs w:val="32"/>
          <w:lang w:val="en-US" w:eastAsia="zh-CN" w:bidi="ar"/>
        </w:rPr>
        <w:t xml:space="preserve"> </w:t>
      </w:r>
      <w:r>
        <w:rPr>
          <w:rFonts w:hint="eastAsia" w:ascii="仿宋" w:hAnsi="仿宋" w:eastAsia="仿宋" w:cs="仿宋"/>
          <w:color w:val="000000"/>
          <w:kern w:val="0"/>
          <w:sz w:val="32"/>
          <w:szCs w:val="32"/>
          <w:lang w:val="en-US" w:eastAsia="zh-CN" w:bidi="ar"/>
        </w:rPr>
        <w:t>经审核，核定</w:t>
      </w:r>
      <w:r>
        <w:rPr>
          <w:rFonts w:hint="eastAsia" w:ascii="仿宋_GB2312" w:hAnsi="宋体" w:eastAsia="仿宋_GB2312" w:cs="仿宋_GB2312"/>
          <w:i w:val="0"/>
          <w:iCs w:val="0"/>
          <w:caps w:val="0"/>
          <w:color w:val="000000"/>
          <w:spacing w:val="0"/>
          <w:sz w:val="32"/>
          <w:szCs w:val="32"/>
          <w:shd w:val="clear" w:color="auto" w:fill="FFFFFF"/>
          <w:lang w:val="en-US" w:eastAsia="zh-CN"/>
        </w:rPr>
        <w:t>托里县供热公司</w:t>
      </w:r>
      <w:r>
        <w:rPr>
          <w:rFonts w:hint="eastAsia" w:ascii="仿宋" w:hAnsi="仿宋" w:eastAsia="仿宋" w:cs="仿宋"/>
          <w:color w:val="000000"/>
          <w:kern w:val="0"/>
          <w:sz w:val="32"/>
          <w:szCs w:val="32"/>
          <w:lang w:val="en-US" w:eastAsia="zh-CN" w:bidi="ar"/>
        </w:rPr>
        <w:t>各年度成本如下：</w:t>
      </w:r>
    </w:p>
    <w:p w14:paraId="134F5526">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 w:hAnsi="仿宋" w:eastAsia="仿宋" w:cs="仿宋"/>
          <w:b/>
          <w:color w:val="000000"/>
          <w:kern w:val="0"/>
          <w:sz w:val="32"/>
          <w:szCs w:val="32"/>
          <w:lang w:val="en-US"/>
        </w:rPr>
      </w:pPr>
      <w:r>
        <w:rPr>
          <w:rFonts w:hint="eastAsia" w:ascii="仿宋" w:hAnsi="仿宋" w:eastAsia="仿宋" w:cs="仿宋"/>
          <w:color w:val="000000"/>
          <w:kern w:val="0"/>
          <w:sz w:val="32"/>
          <w:szCs w:val="32"/>
          <w:lang w:val="en-US" w:eastAsia="zh-CN" w:bidi="ar"/>
        </w:rPr>
        <w:t>2021年度采暖期总成本为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34929998.16</w:t>
      </w:r>
      <w:r>
        <w:rPr>
          <w:rFonts w:hint="eastAsia" w:ascii="仿宋" w:hAnsi="仿宋" w:eastAsia="仿宋" w:cs="仿宋"/>
          <w:color w:val="000000"/>
          <w:kern w:val="0"/>
          <w:sz w:val="32"/>
          <w:szCs w:val="32"/>
          <w:lang w:val="en-US" w:eastAsia="zh-CN" w:bidi="ar"/>
        </w:rPr>
        <w:t>元，年供热面积</w:t>
      </w:r>
      <w:r>
        <w:rPr>
          <w:rFonts w:hint="eastAsia" w:ascii="仿宋_GB2312" w:hAnsi="宋体" w:eastAsia="仿宋_GB2312" w:cs="仿宋_GB2312"/>
          <w:i w:val="0"/>
          <w:iCs w:val="0"/>
          <w:caps w:val="0"/>
          <w:color w:val="000000"/>
          <w:spacing w:val="0"/>
          <w:sz w:val="32"/>
          <w:szCs w:val="32"/>
          <w:shd w:val="clear" w:color="auto" w:fill="FFFFFF"/>
          <w:lang w:val="en-US" w:eastAsia="zh-CN"/>
        </w:rPr>
        <w:t>1284220.92㎡</w:t>
      </w:r>
      <w:r>
        <w:rPr>
          <w:rFonts w:hint="eastAsia" w:ascii="仿宋" w:hAnsi="仿宋" w:eastAsia="仿宋" w:cs="仿宋"/>
          <w:color w:val="000000"/>
          <w:kern w:val="0"/>
          <w:sz w:val="32"/>
          <w:szCs w:val="32"/>
          <w:lang w:val="en-US" w:eastAsia="zh-CN" w:bidi="ar"/>
        </w:rPr>
        <w:t>，单位平均成本每平方米</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27.20</w:t>
      </w:r>
      <w:r>
        <w:rPr>
          <w:rFonts w:hint="eastAsia" w:ascii="仿宋_GB2312" w:hAnsi="宋体" w:eastAsia="仿宋_GB2312" w:cs="仿宋_GB2312"/>
          <w:b w:val="0"/>
          <w:bCs w:val="0"/>
          <w:i w:val="0"/>
          <w:iCs w:val="0"/>
          <w:caps w:val="0"/>
          <w:color w:val="000000"/>
          <w:spacing w:val="0"/>
          <w:sz w:val="32"/>
          <w:szCs w:val="32"/>
          <w:shd w:val="clear" w:color="auto" w:fill="FFFFFF"/>
          <w:lang w:val="en-US" w:eastAsia="zh-CN"/>
        </w:rPr>
        <w:t>元/㎡·采暖期</w:t>
      </w:r>
      <w:r>
        <w:rPr>
          <w:rFonts w:hint="eastAsia" w:ascii="仿宋" w:hAnsi="仿宋" w:eastAsia="仿宋" w:cs="仿宋"/>
          <w:b/>
          <w:color w:val="000000"/>
          <w:kern w:val="0"/>
          <w:sz w:val="32"/>
          <w:szCs w:val="32"/>
          <w:lang w:val="en-US" w:eastAsia="zh-CN" w:bidi="ar"/>
        </w:rPr>
        <w:t>，营业外净收入冲减成本后总成本为</w:t>
      </w:r>
      <w:r>
        <w:rPr>
          <w:rFonts w:hint="eastAsia" w:ascii="仿宋_GB2312" w:hAnsi="宋体" w:eastAsia="仿宋_GB2312" w:cs="仿宋_GB2312"/>
          <w:i w:val="0"/>
          <w:iCs w:val="0"/>
          <w:caps w:val="0"/>
          <w:color w:val="000000"/>
          <w:spacing w:val="0"/>
          <w:sz w:val="32"/>
          <w:szCs w:val="32"/>
          <w:shd w:val="clear" w:color="auto" w:fill="FFFFFF"/>
          <w:lang w:val="en-US" w:eastAsia="zh-CN"/>
        </w:rPr>
        <w:t>33139543.42</w:t>
      </w:r>
      <w:r>
        <w:rPr>
          <w:rFonts w:hint="eastAsia" w:ascii="仿宋" w:hAnsi="仿宋" w:eastAsia="仿宋" w:cs="仿宋"/>
          <w:b/>
          <w:color w:val="000000"/>
          <w:kern w:val="0"/>
          <w:sz w:val="32"/>
          <w:szCs w:val="32"/>
          <w:lang w:val="en-US" w:eastAsia="zh-CN" w:bidi="ar"/>
        </w:rPr>
        <w:t>元，</w:t>
      </w:r>
      <w:r>
        <w:rPr>
          <w:rFonts w:hint="eastAsia" w:ascii="仿宋" w:hAnsi="仿宋" w:eastAsia="仿宋" w:cs="仿宋"/>
          <w:color w:val="000000"/>
          <w:kern w:val="0"/>
          <w:sz w:val="32"/>
          <w:szCs w:val="32"/>
          <w:lang w:val="en-US" w:eastAsia="zh-CN" w:bidi="ar"/>
        </w:rPr>
        <w:t>年供热面积</w:t>
      </w:r>
      <w:r>
        <w:rPr>
          <w:rFonts w:hint="eastAsia" w:ascii="仿宋_GB2312" w:hAnsi="宋体" w:eastAsia="仿宋_GB2312" w:cs="仿宋_GB2312"/>
          <w:i w:val="0"/>
          <w:iCs w:val="0"/>
          <w:caps w:val="0"/>
          <w:color w:val="000000"/>
          <w:spacing w:val="0"/>
          <w:sz w:val="32"/>
          <w:szCs w:val="32"/>
          <w:shd w:val="clear" w:color="auto" w:fill="FFFFFF"/>
          <w:lang w:val="en-US" w:eastAsia="zh-CN"/>
        </w:rPr>
        <w:t>1284220.92㎡</w:t>
      </w:r>
      <w:r>
        <w:rPr>
          <w:rFonts w:hint="eastAsia" w:ascii="仿宋" w:hAnsi="仿宋" w:eastAsia="仿宋" w:cs="仿宋"/>
          <w:color w:val="000000"/>
          <w:kern w:val="0"/>
          <w:sz w:val="32"/>
          <w:szCs w:val="32"/>
          <w:lang w:val="en-US" w:eastAsia="zh-CN" w:bidi="ar"/>
        </w:rPr>
        <w:t>，单位平均成本</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25.8052元/㎡·采暖期。</w:t>
      </w:r>
    </w:p>
    <w:p w14:paraId="3784D0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 w:hAnsi="仿宋" w:eastAsia="仿宋" w:cs="仿宋"/>
          <w:b/>
          <w:color w:val="000000"/>
          <w:kern w:val="0"/>
          <w:sz w:val="32"/>
          <w:szCs w:val="32"/>
          <w:lang w:val="en-US"/>
        </w:rPr>
      </w:pPr>
      <w:r>
        <w:rPr>
          <w:rFonts w:hint="eastAsia" w:ascii="仿宋" w:hAnsi="仿宋" w:eastAsia="仿宋" w:cs="仿宋"/>
          <w:color w:val="505050"/>
          <w:kern w:val="0"/>
          <w:sz w:val="32"/>
          <w:szCs w:val="32"/>
          <w:lang w:val="en-US" w:eastAsia="zh-CN" w:bidi="ar"/>
        </w:rPr>
        <w:t>2022年</w:t>
      </w:r>
      <w:r>
        <w:rPr>
          <w:rFonts w:hint="eastAsia" w:ascii="仿宋" w:hAnsi="仿宋" w:eastAsia="仿宋" w:cs="仿宋"/>
          <w:color w:val="000000"/>
          <w:kern w:val="0"/>
          <w:sz w:val="32"/>
          <w:szCs w:val="32"/>
          <w:lang w:val="en-US" w:eastAsia="zh-CN" w:bidi="ar"/>
        </w:rPr>
        <w:t>度采暖期总成本为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41444190.21</w:t>
      </w:r>
      <w:r>
        <w:rPr>
          <w:rFonts w:hint="eastAsia" w:ascii="仿宋" w:hAnsi="仿宋" w:eastAsia="仿宋" w:cs="仿宋"/>
          <w:color w:val="000000"/>
          <w:kern w:val="0"/>
          <w:sz w:val="32"/>
          <w:szCs w:val="32"/>
          <w:lang w:val="en-US" w:eastAsia="zh-CN" w:bidi="ar"/>
        </w:rPr>
        <w:t>元，年供热面积</w:t>
      </w:r>
      <w:r>
        <w:rPr>
          <w:rFonts w:hint="eastAsia" w:ascii="仿宋_GB2312" w:hAnsi="宋体" w:eastAsia="仿宋_GB2312" w:cs="仿宋_GB2312"/>
          <w:i w:val="0"/>
          <w:iCs w:val="0"/>
          <w:caps w:val="0"/>
          <w:color w:val="000000"/>
          <w:spacing w:val="0"/>
          <w:sz w:val="32"/>
          <w:szCs w:val="32"/>
          <w:shd w:val="clear" w:color="auto" w:fill="FFFFFF"/>
          <w:lang w:val="en-US" w:eastAsia="zh-CN"/>
        </w:rPr>
        <w:t>1351884.49㎡</w:t>
      </w:r>
      <w:r>
        <w:rPr>
          <w:rFonts w:hint="eastAsia" w:ascii="仿宋" w:hAnsi="仿宋" w:eastAsia="仿宋" w:cs="仿宋"/>
          <w:color w:val="000000"/>
          <w:kern w:val="0"/>
          <w:sz w:val="32"/>
          <w:szCs w:val="32"/>
          <w:lang w:val="en-US" w:eastAsia="zh-CN" w:bidi="ar"/>
        </w:rPr>
        <w:t>，单位平均成本</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30.66元/㎡</w:t>
      </w:r>
      <w:r>
        <w:rPr>
          <w:rFonts w:hint="eastAsia" w:ascii="仿宋_GB2312" w:hAnsi="宋体" w:eastAsia="仿宋_GB2312" w:cs="仿宋_GB2312"/>
          <w:i w:val="0"/>
          <w:iCs w:val="0"/>
          <w:caps w:val="0"/>
          <w:color w:val="000000"/>
          <w:spacing w:val="0"/>
          <w:sz w:val="32"/>
          <w:szCs w:val="32"/>
          <w:shd w:val="clear" w:color="auto" w:fill="FFFFFF"/>
          <w:lang w:val="en-US" w:eastAsia="zh-CN"/>
        </w:rPr>
        <w:t>·</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w:t>
      </w:r>
      <w:r>
        <w:rPr>
          <w:rFonts w:hint="eastAsia" w:ascii="仿宋" w:hAnsi="仿宋" w:eastAsia="仿宋" w:cs="仿宋"/>
          <w:b/>
          <w:color w:val="000000"/>
          <w:kern w:val="0"/>
          <w:sz w:val="32"/>
          <w:szCs w:val="32"/>
          <w:lang w:val="en-US" w:eastAsia="zh-CN" w:bidi="ar"/>
        </w:rPr>
        <w:t>营业外净收入冲减成本后总成本为</w:t>
      </w:r>
      <w:r>
        <w:rPr>
          <w:rFonts w:hint="eastAsia" w:ascii="仿宋_GB2312" w:hAnsi="宋体" w:eastAsia="仿宋_GB2312" w:cs="仿宋_GB2312"/>
          <w:i w:val="0"/>
          <w:iCs w:val="0"/>
          <w:caps w:val="0"/>
          <w:color w:val="000000"/>
          <w:spacing w:val="0"/>
          <w:sz w:val="32"/>
          <w:szCs w:val="32"/>
          <w:shd w:val="clear" w:color="auto" w:fill="FFFFFF"/>
          <w:lang w:val="en-US" w:eastAsia="zh-CN"/>
        </w:rPr>
        <w:t>33427917.48</w:t>
      </w:r>
      <w:r>
        <w:rPr>
          <w:rFonts w:hint="eastAsia" w:ascii="仿宋" w:hAnsi="仿宋" w:eastAsia="仿宋" w:cs="仿宋"/>
          <w:b/>
          <w:color w:val="000000"/>
          <w:kern w:val="0"/>
          <w:sz w:val="32"/>
          <w:szCs w:val="32"/>
          <w:lang w:val="en-US" w:eastAsia="zh-CN" w:bidi="ar"/>
        </w:rPr>
        <w:t>元，</w:t>
      </w:r>
      <w:r>
        <w:rPr>
          <w:rFonts w:hint="eastAsia" w:ascii="仿宋" w:hAnsi="仿宋" w:eastAsia="仿宋" w:cs="仿宋"/>
          <w:color w:val="000000"/>
          <w:kern w:val="0"/>
          <w:sz w:val="32"/>
          <w:szCs w:val="32"/>
          <w:lang w:val="en-US" w:eastAsia="zh-CN" w:bidi="ar"/>
        </w:rPr>
        <w:t>年供热面积</w:t>
      </w:r>
      <w:r>
        <w:rPr>
          <w:rFonts w:hint="eastAsia" w:ascii="仿宋_GB2312" w:hAnsi="宋体" w:eastAsia="仿宋_GB2312" w:cs="仿宋_GB2312"/>
          <w:i w:val="0"/>
          <w:iCs w:val="0"/>
          <w:caps w:val="0"/>
          <w:color w:val="000000"/>
          <w:spacing w:val="0"/>
          <w:sz w:val="32"/>
          <w:szCs w:val="32"/>
          <w:shd w:val="clear" w:color="auto" w:fill="FFFFFF"/>
          <w:lang w:val="en-US" w:eastAsia="zh-CN"/>
        </w:rPr>
        <w:t>1351884.49㎡</w:t>
      </w:r>
      <w:r>
        <w:rPr>
          <w:rFonts w:hint="eastAsia" w:ascii="仿宋" w:hAnsi="仿宋" w:eastAsia="仿宋" w:cs="仿宋"/>
          <w:color w:val="000000"/>
          <w:kern w:val="0"/>
          <w:sz w:val="32"/>
          <w:szCs w:val="32"/>
          <w:lang w:val="en-US" w:eastAsia="zh-CN" w:bidi="ar"/>
        </w:rPr>
        <w:t>，单位平均成本</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24.73元/㎡·采暖期</w:t>
      </w:r>
      <w:r>
        <w:rPr>
          <w:rFonts w:hint="eastAsia" w:ascii="仿宋_GB2312" w:hAnsi="宋体" w:eastAsia="仿宋_GB2312" w:cs="仿宋_GB2312"/>
          <w:i w:val="0"/>
          <w:iCs w:val="0"/>
          <w:caps w:val="0"/>
          <w:color w:val="000000"/>
          <w:spacing w:val="0"/>
          <w:sz w:val="32"/>
          <w:szCs w:val="32"/>
          <w:shd w:val="clear" w:color="auto" w:fill="FFFFFF"/>
          <w:lang w:val="en-US" w:eastAsia="zh-CN"/>
        </w:rPr>
        <w:t>。</w:t>
      </w:r>
    </w:p>
    <w:p w14:paraId="1AA905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 w:hAnsi="仿宋" w:eastAsia="仿宋" w:cs="仿宋"/>
          <w:b/>
          <w:color w:val="000000"/>
          <w:kern w:val="0"/>
          <w:sz w:val="32"/>
          <w:szCs w:val="32"/>
          <w:lang w:val="en-US"/>
        </w:rPr>
      </w:pPr>
      <w:r>
        <w:rPr>
          <w:rFonts w:hint="eastAsia" w:ascii="仿宋" w:hAnsi="仿宋" w:eastAsia="仿宋" w:cs="仿宋"/>
          <w:color w:val="000000"/>
          <w:kern w:val="0"/>
          <w:sz w:val="32"/>
          <w:szCs w:val="32"/>
          <w:lang w:val="en-US" w:eastAsia="zh-CN" w:bidi="ar"/>
        </w:rPr>
        <w:t>2023年度采暖期总成本为</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56400621.16</w:t>
      </w:r>
      <w:r>
        <w:rPr>
          <w:rFonts w:hint="eastAsia" w:ascii="仿宋" w:hAnsi="仿宋" w:eastAsia="仿宋" w:cs="仿宋"/>
          <w:color w:val="000000"/>
          <w:kern w:val="0"/>
          <w:sz w:val="32"/>
          <w:szCs w:val="32"/>
          <w:lang w:val="en-US" w:eastAsia="zh-CN" w:bidi="ar"/>
        </w:rPr>
        <w:t>元，年供热面积</w:t>
      </w:r>
      <w:r>
        <w:rPr>
          <w:rFonts w:hint="eastAsia" w:ascii="仿宋_GB2312" w:hAnsi="宋体" w:eastAsia="仿宋_GB2312" w:cs="仿宋_GB2312"/>
          <w:i w:val="0"/>
          <w:iCs w:val="0"/>
          <w:caps w:val="0"/>
          <w:color w:val="000000"/>
          <w:spacing w:val="0"/>
          <w:sz w:val="32"/>
          <w:szCs w:val="32"/>
          <w:shd w:val="clear" w:color="auto" w:fill="FFFFFF"/>
          <w:lang w:val="en-US" w:eastAsia="zh-CN"/>
        </w:rPr>
        <w:t>1364869.84㎡</w:t>
      </w:r>
      <w:r>
        <w:rPr>
          <w:rFonts w:hint="eastAsia" w:ascii="仿宋" w:hAnsi="仿宋" w:eastAsia="仿宋" w:cs="仿宋"/>
          <w:color w:val="000000"/>
          <w:kern w:val="0"/>
          <w:sz w:val="32"/>
          <w:szCs w:val="32"/>
          <w:lang w:val="en-US" w:eastAsia="zh-CN" w:bidi="ar"/>
        </w:rPr>
        <w:t>，单位平均成本</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41.32元/㎡</w:t>
      </w:r>
      <w:r>
        <w:rPr>
          <w:rFonts w:hint="eastAsia" w:ascii="仿宋_GB2312" w:hAnsi="宋体" w:eastAsia="仿宋_GB2312" w:cs="仿宋_GB2312"/>
          <w:i w:val="0"/>
          <w:iCs w:val="0"/>
          <w:caps w:val="0"/>
          <w:color w:val="000000"/>
          <w:spacing w:val="0"/>
          <w:sz w:val="32"/>
          <w:szCs w:val="32"/>
          <w:shd w:val="clear" w:color="auto" w:fill="FFFFFF"/>
          <w:lang w:val="en-US" w:eastAsia="zh-CN"/>
        </w:rPr>
        <w:t>·</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采暖期</w:t>
      </w:r>
      <w:r>
        <w:rPr>
          <w:rFonts w:hint="eastAsia" w:ascii="仿宋" w:hAnsi="仿宋" w:eastAsia="仿宋" w:cs="仿宋"/>
          <w:b/>
          <w:color w:val="000000"/>
          <w:kern w:val="0"/>
          <w:sz w:val="32"/>
          <w:szCs w:val="32"/>
          <w:lang w:val="en-US" w:eastAsia="zh-CN" w:bidi="ar"/>
        </w:rPr>
        <w:t>。营业外净收入冲减成本后总成本为</w:t>
      </w:r>
      <w:r>
        <w:rPr>
          <w:rFonts w:hint="eastAsia" w:ascii="仿宋_GB2312" w:hAnsi="宋体" w:eastAsia="仿宋_GB2312" w:cs="仿宋_GB2312"/>
          <w:i w:val="0"/>
          <w:iCs w:val="0"/>
          <w:caps w:val="0"/>
          <w:color w:val="000000"/>
          <w:spacing w:val="0"/>
          <w:sz w:val="32"/>
          <w:szCs w:val="32"/>
          <w:shd w:val="clear" w:color="auto" w:fill="FFFFFF"/>
          <w:lang w:val="en-US" w:eastAsia="zh-CN"/>
        </w:rPr>
        <w:t>50703796.97元</w:t>
      </w:r>
      <w:r>
        <w:rPr>
          <w:rFonts w:hint="eastAsia" w:ascii="仿宋" w:hAnsi="仿宋" w:eastAsia="仿宋" w:cs="仿宋"/>
          <w:b/>
          <w:color w:val="000000"/>
          <w:kern w:val="0"/>
          <w:sz w:val="32"/>
          <w:szCs w:val="32"/>
          <w:lang w:val="en-US" w:eastAsia="zh-CN" w:bidi="ar"/>
        </w:rPr>
        <w:t>，</w:t>
      </w:r>
      <w:r>
        <w:rPr>
          <w:rFonts w:hint="eastAsia" w:ascii="仿宋" w:hAnsi="仿宋" w:eastAsia="仿宋" w:cs="仿宋"/>
          <w:color w:val="000000"/>
          <w:kern w:val="0"/>
          <w:sz w:val="32"/>
          <w:szCs w:val="32"/>
          <w:lang w:val="en-US" w:eastAsia="zh-CN" w:bidi="ar"/>
        </w:rPr>
        <w:t>年供热面积</w:t>
      </w:r>
      <w:r>
        <w:rPr>
          <w:rFonts w:hint="eastAsia" w:ascii="仿宋_GB2312" w:hAnsi="宋体" w:eastAsia="仿宋_GB2312" w:cs="仿宋_GB2312"/>
          <w:i w:val="0"/>
          <w:iCs w:val="0"/>
          <w:caps w:val="0"/>
          <w:color w:val="000000"/>
          <w:spacing w:val="0"/>
          <w:sz w:val="32"/>
          <w:szCs w:val="32"/>
          <w:shd w:val="clear" w:color="auto" w:fill="FFFFFF"/>
          <w:lang w:val="en-US" w:eastAsia="zh-CN"/>
        </w:rPr>
        <w:t>1364869.84㎡</w:t>
      </w:r>
      <w:r>
        <w:rPr>
          <w:rFonts w:hint="eastAsia" w:ascii="仿宋" w:hAnsi="仿宋" w:eastAsia="仿宋" w:cs="仿宋"/>
          <w:color w:val="000000"/>
          <w:kern w:val="0"/>
          <w:sz w:val="32"/>
          <w:szCs w:val="32"/>
          <w:lang w:val="en-US" w:eastAsia="zh-CN" w:bidi="ar"/>
        </w:rPr>
        <w:t>，单位平均成本</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37.15元/㎡·采暖期。</w:t>
      </w:r>
    </w:p>
    <w:p w14:paraId="3D31131E">
      <w:pPr>
        <w:keepNext w:val="0"/>
        <w:keepLines w:val="0"/>
        <w:pageBreakBefore w:val="0"/>
        <w:widowControl/>
        <w:numPr>
          <w:ilvl w:val="0"/>
          <w:numId w:val="2"/>
        </w:numPr>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right="0" w:firstLine="640" w:firstLineChars="200"/>
        <w:jc w:val="left"/>
        <w:textAlignment w:val="auto"/>
        <w:rPr>
          <w:rFonts w:hint="eastAsia" w:ascii="仿宋_GB2312" w:hAnsi="宋体" w:eastAsia="仿宋_GB2312" w:cs="仿宋_GB2312"/>
          <w:b w:val="0"/>
          <w:bCs w:val="0"/>
          <w:i w:val="0"/>
          <w:iCs w:val="0"/>
          <w:caps w:val="0"/>
          <w:color w:val="000000"/>
          <w:spacing w:val="0"/>
          <w:sz w:val="32"/>
          <w:szCs w:val="32"/>
          <w:shd w:val="clear" w:color="auto" w:fill="FFFFFF"/>
          <w:lang w:val="en-US" w:eastAsia="zh-CN"/>
        </w:rPr>
      </w:pPr>
      <w:r>
        <w:rPr>
          <w:rFonts w:hint="eastAsia" w:ascii="仿宋" w:hAnsi="仿宋" w:eastAsia="仿宋" w:cs="仿宋"/>
          <w:color w:val="000000"/>
          <w:kern w:val="0"/>
          <w:sz w:val="32"/>
          <w:szCs w:val="32"/>
          <w:shd w:val="clear" w:color="auto" w:fill="FFFFFF"/>
          <w:lang w:val="en-US" w:eastAsia="zh-CN" w:bidi="ar"/>
        </w:rPr>
        <w:t>不核减营业外收入三年平均单位供热成本为</w:t>
      </w:r>
      <w:r>
        <w:rPr>
          <w:rFonts w:hint="eastAsia" w:ascii="仿宋" w:hAnsi="仿宋" w:eastAsia="仿宋" w:cs="仿宋"/>
          <w:b/>
          <w:bCs/>
          <w:color w:val="000000"/>
          <w:kern w:val="0"/>
          <w:sz w:val="32"/>
          <w:szCs w:val="32"/>
          <w:shd w:val="clear" w:color="auto" w:fill="FFFFFF"/>
          <w:lang w:val="en-US" w:eastAsia="zh-CN" w:bidi="ar"/>
        </w:rPr>
        <w:t>33.186</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元/㎡·采暖期</w:t>
      </w:r>
      <w:r>
        <w:rPr>
          <w:rFonts w:hint="eastAsia" w:ascii="仿宋_GB2312" w:hAnsi="宋体" w:eastAsia="仿宋_GB2312" w:cs="仿宋_GB2312"/>
          <w:b w:val="0"/>
          <w:bCs w:val="0"/>
          <w:i w:val="0"/>
          <w:iCs w:val="0"/>
          <w:caps w:val="0"/>
          <w:color w:val="000000"/>
          <w:spacing w:val="0"/>
          <w:sz w:val="32"/>
          <w:szCs w:val="32"/>
          <w:shd w:val="clear" w:color="auto" w:fill="FFFFFF"/>
          <w:lang w:val="en-US" w:eastAsia="zh-CN"/>
        </w:rPr>
        <w:t>（44258269.84元÷1333658.42</w:t>
      </w:r>
      <w:r>
        <w:rPr>
          <w:rFonts w:hint="eastAsia" w:ascii="仿宋_GB2312" w:hAnsi="宋体" w:eastAsia="仿宋_GB2312" w:cs="仿宋_GB2312"/>
          <w:i w:val="0"/>
          <w:iCs w:val="0"/>
          <w:caps w:val="0"/>
          <w:color w:val="000000"/>
          <w:spacing w:val="0"/>
          <w:sz w:val="32"/>
          <w:szCs w:val="32"/>
          <w:shd w:val="clear" w:color="auto" w:fill="FFFFFF"/>
          <w:lang w:val="en-US" w:eastAsia="zh-CN"/>
        </w:rPr>
        <w:t>㎡</w:t>
      </w:r>
      <w:r>
        <w:rPr>
          <w:rFonts w:hint="eastAsia" w:ascii="仿宋_GB2312" w:hAnsi="宋体" w:eastAsia="仿宋_GB2312" w:cs="仿宋_GB2312"/>
          <w:b w:val="0"/>
          <w:bCs w:val="0"/>
          <w:i w:val="0"/>
          <w:iCs w:val="0"/>
          <w:caps w:val="0"/>
          <w:color w:val="000000"/>
          <w:spacing w:val="0"/>
          <w:sz w:val="32"/>
          <w:szCs w:val="32"/>
          <w:shd w:val="clear" w:color="auto" w:fill="FFFFFF"/>
          <w:lang w:val="en-US" w:eastAsia="zh-CN"/>
        </w:rPr>
        <w:t>）。</w:t>
      </w:r>
    </w:p>
    <w:p w14:paraId="7B949A33">
      <w:pPr>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00" w:lineRule="exact"/>
        <w:ind w:right="0" w:rightChars="0" w:firstLine="640" w:firstLineChars="200"/>
        <w:jc w:val="left"/>
        <w:textAlignment w:val="auto"/>
        <w:rPr>
          <w:rFonts w:hint="default" w:ascii="黑体" w:hAnsi="宋体" w:eastAsia="黑体" w:cs="宋体"/>
          <w:b/>
          <w:color w:val="505050"/>
          <w:kern w:val="0"/>
          <w:sz w:val="32"/>
          <w:szCs w:val="32"/>
          <w:shd w:val="clear" w:color="auto" w:fill="FFFFFF"/>
          <w:lang w:val="en-US" w:eastAsia="zh-CN" w:bidi="ar"/>
        </w:rPr>
      </w:pPr>
      <w:r>
        <w:rPr>
          <w:rFonts w:hint="eastAsia" w:ascii="仿宋" w:hAnsi="仿宋" w:eastAsia="仿宋" w:cs="仿宋"/>
          <w:color w:val="000000"/>
          <w:kern w:val="0"/>
          <w:sz w:val="32"/>
          <w:szCs w:val="32"/>
          <w:shd w:val="clear" w:color="auto" w:fill="FFFFFF"/>
          <w:lang w:val="en-US" w:eastAsia="zh-CN" w:bidi="ar"/>
        </w:rPr>
        <w:t>2、核减营业外收入三年平均单位供热成本为</w:t>
      </w:r>
      <w:r>
        <w:rPr>
          <w:rFonts w:hint="eastAsia" w:ascii="仿宋" w:hAnsi="仿宋" w:eastAsia="仿宋" w:cs="仿宋"/>
          <w:b/>
          <w:bCs/>
          <w:color w:val="000000"/>
          <w:kern w:val="0"/>
          <w:sz w:val="32"/>
          <w:szCs w:val="32"/>
          <w:shd w:val="clear" w:color="auto" w:fill="FFFFFF"/>
          <w:lang w:val="en-US" w:eastAsia="zh-CN" w:bidi="ar"/>
        </w:rPr>
        <w:t>29.31</w:t>
      </w:r>
      <w:r>
        <w:rPr>
          <w:rFonts w:hint="eastAsia" w:ascii="仿宋_GB2312" w:hAnsi="宋体" w:eastAsia="仿宋_GB2312" w:cs="仿宋_GB2312"/>
          <w:b/>
          <w:bCs/>
          <w:i w:val="0"/>
          <w:iCs w:val="0"/>
          <w:caps w:val="0"/>
          <w:color w:val="000000"/>
          <w:spacing w:val="0"/>
          <w:sz w:val="32"/>
          <w:szCs w:val="32"/>
          <w:shd w:val="clear" w:color="auto" w:fill="FFFFFF"/>
          <w:lang w:val="en-US" w:eastAsia="zh-CN"/>
        </w:rPr>
        <w:t>元/㎡·采暖期</w:t>
      </w:r>
      <w:r>
        <w:rPr>
          <w:rFonts w:hint="eastAsia" w:ascii="仿宋_GB2312" w:hAnsi="宋体" w:eastAsia="仿宋_GB2312" w:cs="仿宋_GB2312"/>
          <w:b w:val="0"/>
          <w:bCs w:val="0"/>
          <w:i w:val="0"/>
          <w:iCs w:val="0"/>
          <w:caps w:val="0"/>
          <w:color w:val="000000"/>
          <w:spacing w:val="0"/>
          <w:sz w:val="32"/>
          <w:szCs w:val="32"/>
          <w:shd w:val="clear" w:color="auto" w:fill="FFFFFF"/>
          <w:lang w:val="en-US" w:eastAsia="zh-CN"/>
        </w:rPr>
        <w:t>（39090419.30÷1333658.42</w:t>
      </w:r>
      <w:r>
        <w:rPr>
          <w:rFonts w:hint="eastAsia" w:ascii="仿宋_GB2312" w:hAnsi="宋体" w:eastAsia="仿宋_GB2312" w:cs="仿宋_GB2312"/>
          <w:i w:val="0"/>
          <w:iCs w:val="0"/>
          <w:caps w:val="0"/>
          <w:color w:val="000000"/>
          <w:spacing w:val="0"/>
          <w:sz w:val="32"/>
          <w:szCs w:val="32"/>
          <w:shd w:val="clear" w:color="auto" w:fill="FFFFFF"/>
          <w:lang w:val="en-US" w:eastAsia="zh-CN"/>
        </w:rPr>
        <w:t>㎡</w:t>
      </w:r>
      <w:r>
        <w:rPr>
          <w:rFonts w:hint="eastAsia" w:ascii="仿宋_GB2312" w:hAnsi="宋体" w:eastAsia="仿宋_GB2312" w:cs="仿宋_GB2312"/>
          <w:b w:val="0"/>
          <w:bCs w:val="0"/>
          <w:i w:val="0"/>
          <w:iCs w:val="0"/>
          <w:caps w:val="0"/>
          <w:color w:val="000000"/>
          <w:spacing w:val="0"/>
          <w:sz w:val="32"/>
          <w:szCs w:val="32"/>
          <w:shd w:val="clear" w:color="auto" w:fill="FFFFFF"/>
          <w:lang w:val="en-US" w:eastAsia="zh-CN"/>
        </w:rPr>
        <w:t>）。</w:t>
      </w:r>
    </w:p>
    <w:p w14:paraId="6CBC0A13">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3" w:firstLineChars="200"/>
        <w:jc w:val="left"/>
        <w:textAlignment w:val="auto"/>
        <w:rPr>
          <w:rFonts w:hint="eastAsia" w:ascii="仿宋_GB2312" w:hAnsi="宋体" w:eastAsia="仿宋_GB2312" w:cs="仿宋_GB2312"/>
          <w:b/>
          <w:bCs/>
          <w:i w:val="0"/>
          <w:iCs w:val="0"/>
          <w:caps w:val="0"/>
          <w:color w:val="000000"/>
          <w:spacing w:val="0"/>
          <w:sz w:val="32"/>
          <w:szCs w:val="32"/>
          <w:shd w:val="clear" w:color="auto" w:fill="FFFFFF"/>
          <w:lang w:val="en-US" w:eastAsia="zh-CN"/>
        </w:rPr>
      </w:pPr>
      <w:r>
        <w:rPr>
          <w:rFonts w:hint="eastAsia" w:ascii="仿宋_GB2312" w:hAnsi="宋体" w:eastAsia="仿宋_GB2312" w:cs="仿宋_GB2312"/>
          <w:b/>
          <w:bCs/>
          <w:i w:val="0"/>
          <w:iCs w:val="0"/>
          <w:caps w:val="0"/>
          <w:color w:val="000000"/>
          <w:spacing w:val="0"/>
          <w:sz w:val="32"/>
          <w:szCs w:val="32"/>
          <w:shd w:val="clear" w:color="auto" w:fill="FFFFFF"/>
          <w:lang w:val="en-US" w:eastAsia="zh-CN"/>
        </w:rPr>
        <w:t>八、其他需要说明的事项</w:t>
      </w:r>
    </w:p>
    <w:p w14:paraId="3743B2BE">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（一）本报告是根据和托里供热公司提供《供热成本费用表》和该单位</w:t>
      </w:r>
      <w:r>
        <w:rPr>
          <w:rFonts w:hint="default" w:ascii="仿宋_GB2312" w:hAnsi="宋体" w:eastAsia="仿宋_GB2312" w:cs="仿宋_GB2312"/>
          <w:i w:val="0"/>
          <w:iCs w:val="0"/>
          <w:caps w:val="0"/>
          <w:color w:val="000000"/>
          <w:spacing w:val="0"/>
          <w:sz w:val="32"/>
          <w:szCs w:val="32"/>
          <w:shd w:val="clear" w:color="auto" w:fill="FFFFFF"/>
          <w:lang w:val="en-US" w:eastAsia="zh-CN"/>
        </w:rPr>
        <w:t>202</w:t>
      </w:r>
      <w:r>
        <w:rPr>
          <w:rFonts w:hint="eastAsia" w:ascii="仿宋_GB2312" w:hAnsi="宋体" w:eastAsia="仿宋_GB2312" w:cs="仿宋_GB2312"/>
          <w:i w:val="0"/>
          <w:iCs w:val="0"/>
          <w:caps w:val="0"/>
          <w:color w:val="000000"/>
          <w:spacing w:val="0"/>
          <w:sz w:val="32"/>
          <w:szCs w:val="32"/>
          <w:shd w:val="clear" w:color="auto" w:fill="FFFFFF"/>
          <w:lang w:val="en-US" w:eastAsia="zh-CN"/>
        </w:rPr>
        <w:t>1年至</w:t>
      </w:r>
      <w:r>
        <w:rPr>
          <w:rFonts w:hint="default" w:ascii="仿宋_GB2312" w:hAnsi="宋体" w:eastAsia="仿宋_GB2312" w:cs="仿宋_GB2312"/>
          <w:i w:val="0"/>
          <w:iCs w:val="0"/>
          <w:caps w:val="0"/>
          <w:color w:val="000000"/>
          <w:spacing w:val="0"/>
          <w:sz w:val="32"/>
          <w:szCs w:val="32"/>
          <w:shd w:val="clear" w:color="auto" w:fill="FFFFFF"/>
          <w:lang w:val="en-US" w:eastAsia="zh-CN"/>
        </w:rPr>
        <w:t>2023</w:t>
      </w:r>
      <w:r>
        <w:rPr>
          <w:rFonts w:hint="eastAsia" w:ascii="仿宋_GB2312" w:hAnsi="宋体" w:eastAsia="仿宋_GB2312" w:cs="仿宋_GB2312"/>
          <w:i w:val="0"/>
          <w:iCs w:val="0"/>
          <w:caps w:val="0"/>
          <w:color w:val="000000"/>
          <w:spacing w:val="0"/>
          <w:sz w:val="32"/>
          <w:szCs w:val="32"/>
          <w:shd w:val="clear" w:color="auto" w:fill="FFFFFF"/>
          <w:lang w:val="en-US" w:eastAsia="zh-CN"/>
        </w:rPr>
        <w:t>年总帐、明细账、记账凭证及相关年度审计报告资料做出的，其真实性、合法性由被监审单位负责。</w:t>
      </w:r>
    </w:p>
    <w:p w14:paraId="668098C6">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（二）参加本次监审的工作人员与被监审单位无任何利害关系。</w:t>
      </w:r>
    </w:p>
    <w:p w14:paraId="2E519E13">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（三）本报告仅作为托里供热公司和托里县发展和改革委员会调整供热价格的依据之一。其他任何单位和个人引用本报告内容，可能出现的核算指标等概念不同造成的误差，本报告制作单位不承担责任。</w:t>
      </w:r>
    </w:p>
    <w:p w14:paraId="3EEC114E">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（四）凡使用本报告者均应妥善保管和慎重使用，由于使用不当或保管不善引起的纠纷或问题，责任自负。</w:t>
      </w:r>
    </w:p>
    <w:p w14:paraId="1677F215">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 xml:space="preserve"> </w:t>
      </w:r>
    </w:p>
    <w:p w14:paraId="52F7DEAF">
      <w:pPr>
        <w:keepNext w:val="0"/>
        <w:keepLines w:val="0"/>
        <w:pageBreakBefore w:val="0"/>
        <w:widowControl/>
        <w:shd w:val="clear" w:color="auto" w:fill="FFFFFF"/>
        <w:kinsoku/>
        <w:wordWrap/>
        <w:overflowPunct/>
        <w:topLinePunct w:val="0"/>
        <w:autoSpaceDE/>
        <w:autoSpaceDN/>
        <w:bidi w:val="0"/>
        <w:adjustRightInd/>
        <w:snapToGrid/>
        <w:spacing w:line="500" w:lineRule="exact"/>
        <w:ind w:firstLine="640" w:firstLineChars="200"/>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r>
        <w:rPr>
          <w:rFonts w:hint="eastAsia" w:ascii="仿宋_GB2312" w:hAnsi="宋体" w:eastAsia="仿宋_GB2312" w:cs="仿宋_GB2312"/>
          <w:i w:val="0"/>
          <w:iCs w:val="0"/>
          <w:caps w:val="0"/>
          <w:color w:val="000000"/>
          <w:spacing w:val="0"/>
          <w:sz w:val="32"/>
          <w:szCs w:val="32"/>
          <w:shd w:val="clear" w:color="auto" w:fill="FFFFFF"/>
          <w:lang w:val="en-US" w:eastAsia="zh-CN"/>
        </w:rPr>
        <w:t>备注：</w:t>
      </w:r>
      <w:r>
        <w:rPr>
          <w:rFonts w:hint="default" w:ascii="仿宋_GB2312" w:hAnsi="宋体" w:eastAsia="仿宋_GB2312" w:cs="仿宋_GB2312"/>
          <w:i w:val="0"/>
          <w:iCs w:val="0"/>
          <w:caps w:val="0"/>
          <w:color w:val="000000"/>
          <w:spacing w:val="0"/>
          <w:sz w:val="32"/>
          <w:szCs w:val="32"/>
          <w:shd w:val="clear" w:color="auto" w:fill="FFFFFF"/>
          <w:lang w:val="en-US" w:eastAsia="zh-CN"/>
        </w:rPr>
        <w:t xml:space="preserve"> </w:t>
      </w:r>
      <w:r>
        <w:rPr>
          <w:rFonts w:hint="eastAsia" w:ascii="仿宋_GB2312" w:hAnsi="宋体" w:eastAsia="仿宋_GB2312" w:cs="仿宋_GB2312"/>
          <w:i w:val="0"/>
          <w:iCs w:val="0"/>
          <w:caps w:val="0"/>
          <w:color w:val="000000"/>
          <w:spacing w:val="0"/>
          <w:sz w:val="32"/>
          <w:szCs w:val="32"/>
          <w:shd w:val="clear" w:color="auto" w:fill="FFFFFF"/>
          <w:lang w:val="en-US" w:eastAsia="zh-CN"/>
        </w:rPr>
        <w:t>成本监审核定表附后</w:t>
      </w:r>
    </w:p>
    <w:p w14:paraId="5CF34333">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color w:val="333333"/>
          <w:sz w:val="32"/>
          <w:szCs w:val="32"/>
          <w:lang w:val="en-US" w:eastAsia="zh-CN"/>
        </w:rPr>
      </w:pPr>
      <w:r>
        <w:rPr>
          <w:rFonts w:hint="eastAsia" w:ascii="仿宋_GB2312" w:hAnsi="仿宋_GB2312" w:eastAsia="仿宋_GB2312" w:cs="仿宋_GB2312"/>
          <w:color w:val="333333"/>
          <w:sz w:val="32"/>
          <w:szCs w:val="32"/>
          <w:lang w:val="en-US" w:eastAsia="zh-CN"/>
        </w:rPr>
        <w:t>1、供热价格成本监审汇总核定表（2021-2023年）</w:t>
      </w:r>
    </w:p>
    <w:p w14:paraId="703DF683">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color w:val="333333"/>
          <w:sz w:val="32"/>
          <w:szCs w:val="32"/>
          <w:lang w:val="en-US" w:eastAsia="zh-CN"/>
        </w:rPr>
      </w:pPr>
      <w:r>
        <w:rPr>
          <w:rFonts w:hint="eastAsia" w:ascii="仿宋_GB2312" w:hAnsi="仿宋_GB2312" w:eastAsia="仿宋_GB2312" w:cs="仿宋_GB2312"/>
          <w:color w:val="333333"/>
          <w:sz w:val="32"/>
          <w:szCs w:val="32"/>
          <w:lang w:val="en-US" w:eastAsia="zh-CN"/>
        </w:rPr>
        <w:t>2、2021年供热价格成本核定表</w:t>
      </w:r>
    </w:p>
    <w:p w14:paraId="366161CF">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color w:val="333333"/>
          <w:sz w:val="32"/>
          <w:szCs w:val="32"/>
          <w:lang w:val="en-US" w:eastAsia="zh-CN"/>
        </w:rPr>
      </w:pPr>
      <w:r>
        <w:rPr>
          <w:rFonts w:hint="eastAsia" w:ascii="仿宋_GB2312" w:hAnsi="仿宋_GB2312" w:eastAsia="仿宋_GB2312" w:cs="仿宋_GB2312"/>
          <w:color w:val="333333"/>
          <w:sz w:val="32"/>
          <w:szCs w:val="32"/>
          <w:lang w:val="en-US" w:eastAsia="zh-CN"/>
        </w:rPr>
        <w:t>3、2022年供热价格成本核定表</w:t>
      </w:r>
    </w:p>
    <w:p w14:paraId="3402F43E">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color w:val="333333"/>
          <w:sz w:val="32"/>
          <w:szCs w:val="32"/>
          <w:lang w:val="en-US" w:eastAsia="zh-CN"/>
        </w:rPr>
      </w:pPr>
      <w:r>
        <w:rPr>
          <w:rFonts w:hint="eastAsia" w:ascii="仿宋_GB2312" w:hAnsi="仿宋_GB2312" w:eastAsia="仿宋_GB2312" w:cs="仿宋_GB2312"/>
          <w:color w:val="333333"/>
          <w:sz w:val="32"/>
          <w:szCs w:val="32"/>
          <w:lang w:val="en-US" w:eastAsia="zh-CN"/>
        </w:rPr>
        <w:t>4、2023年供热价格成本核定表</w:t>
      </w:r>
    </w:p>
    <w:p w14:paraId="156EFA61">
      <w:pPr>
        <w:keepNext w:val="0"/>
        <w:keepLines w:val="0"/>
        <w:pageBreakBefore w:val="0"/>
        <w:widowControl/>
        <w:shd w:val="clear" w:color="auto" w:fill="FFFFFF"/>
        <w:kinsoku/>
        <w:wordWrap/>
        <w:overflowPunct/>
        <w:topLinePunct w:val="0"/>
        <w:autoSpaceDE/>
        <w:autoSpaceDN/>
        <w:bidi w:val="0"/>
        <w:adjustRightInd/>
        <w:snapToGrid/>
        <w:spacing w:line="500" w:lineRule="exact"/>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p>
    <w:p w14:paraId="26524693">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color w:val="333333"/>
          <w:sz w:val="32"/>
          <w:szCs w:val="32"/>
          <w:lang w:val="en-US" w:eastAsia="zh-CN"/>
        </w:rPr>
      </w:pPr>
    </w:p>
    <w:p w14:paraId="6A67EB8A">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2560" w:firstLineChars="800"/>
        <w:textAlignment w:val="auto"/>
        <w:rPr>
          <w:rFonts w:hint="eastAsia" w:ascii="仿宋_GB2312" w:hAnsi="仿宋_GB2312" w:eastAsia="仿宋_GB2312" w:cs="仿宋_GB2312"/>
          <w:color w:val="333333"/>
          <w:sz w:val="32"/>
          <w:szCs w:val="32"/>
          <w:lang w:val="en-US" w:eastAsia="zh-CN"/>
        </w:rPr>
      </w:pPr>
      <w:r>
        <w:rPr>
          <w:rFonts w:hint="eastAsia" w:ascii="仿宋_GB2312" w:hAnsi="仿宋_GB2312" w:eastAsia="仿宋_GB2312" w:cs="仿宋_GB2312"/>
          <w:color w:val="333333"/>
          <w:sz w:val="32"/>
          <w:szCs w:val="32"/>
          <w:lang w:val="en-US" w:eastAsia="zh-CN"/>
        </w:rPr>
        <w:t>塔城市楚呼楚价格评估服务有限公司</w:t>
      </w:r>
    </w:p>
    <w:p w14:paraId="0B3F90BB">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640" w:firstLineChars="200"/>
        <w:textAlignment w:val="auto"/>
        <w:rPr>
          <w:rFonts w:hint="eastAsia" w:ascii="仿宋_GB2312" w:hAnsi="仿宋_GB2312" w:eastAsia="仿宋_GB2312" w:cs="仿宋_GB2312"/>
          <w:color w:val="333333"/>
          <w:sz w:val="32"/>
          <w:szCs w:val="32"/>
          <w:lang w:val="en-US" w:eastAsia="zh-CN"/>
        </w:rPr>
      </w:pPr>
      <w:r>
        <w:rPr>
          <w:rFonts w:hint="eastAsia" w:ascii="仿宋_GB2312" w:hAnsi="仿宋_GB2312" w:eastAsia="仿宋_GB2312" w:cs="仿宋_GB2312"/>
          <w:color w:val="333333"/>
          <w:sz w:val="32"/>
          <w:szCs w:val="32"/>
          <w:lang w:val="en-US" w:eastAsia="zh-CN"/>
        </w:rPr>
        <w:t xml:space="preserve">                  </w:t>
      </w:r>
    </w:p>
    <w:p w14:paraId="4B853CCC">
      <w:pPr>
        <w:pStyle w:val="8"/>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00" w:lineRule="exact"/>
        <w:ind w:firstLine="3840" w:firstLineChars="1200"/>
        <w:textAlignment w:val="auto"/>
        <w:rPr>
          <w:rFonts w:hint="eastAsia" w:ascii="仿宋_GB2312" w:hAnsi="仿宋_GB2312" w:eastAsia="仿宋_GB2312" w:cs="仿宋_GB2312"/>
          <w:color w:val="333333"/>
          <w:sz w:val="32"/>
          <w:szCs w:val="32"/>
          <w:lang w:val="en-US" w:eastAsia="zh-CN"/>
        </w:rPr>
      </w:pPr>
      <w:r>
        <w:rPr>
          <w:rFonts w:hint="eastAsia" w:ascii="仿宋_GB2312" w:hAnsi="仿宋_GB2312" w:eastAsia="仿宋_GB2312" w:cs="仿宋_GB2312"/>
          <w:color w:val="333333"/>
          <w:sz w:val="32"/>
          <w:szCs w:val="32"/>
          <w:lang w:val="en-US" w:eastAsia="zh-CN"/>
        </w:rPr>
        <w:t xml:space="preserve"> 2024年6月20日</w:t>
      </w:r>
    </w:p>
    <w:p w14:paraId="0AC20777">
      <w:pPr>
        <w:keepNext w:val="0"/>
        <w:keepLines w:val="0"/>
        <w:pageBreakBefore w:val="0"/>
        <w:widowControl/>
        <w:shd w:val="clear" w:color="auto" w:fill="FFFFFF"/>
        <w:kinsoku/>
        <w:wordWrap/>
        <w:overflowPunct/>
        <w:topLinePunct w:val="0"/>
        <w:autoSpaceDE/>
        <w:autoSpaceDN/>
        <w:bidi w:val="0"/>
        <w:spacing w:line="560" w:lineRule="exact"/>
        <w:jc w:val="left"/>
        <w:textAlignment w:val="auto"/>
        <w:rPr>
          <w:rFonts w:hint="eastAsia" w:ascii="仿宋_GB2312" w:hAnsi="宋体" w:eastAsia="仿宋_GB2312" w:cs="仿宋_GB2312"/>
          <w:i w:val="0"/>
          <w:iCs w:val="0"/>
          <w:caps w:val="0"/>
          <w:color w:val="000000"/>
          <w:spacing w:val="0"/>
          <w:sz w:val="32"/>
          <w:szCs w:val="32"/>
          <w:shd w:val="clear" w:color="auto" w:fill="FFFFFF"/>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 w:name="Circular Std">
    <w:altName w:val="Times New Roman"/>
    <w:panose1 w:val="00000000000000000000"/>
    <w:charset w:val="00"/>
    <w:family w:val="roman"/>
    <w:pitch w:val="default"/>
    <w:sig w:usb0="00000000" w:usb1="00000000" w:usb2="00000000"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方正仿宋_GBK">
    <w:altName w:val="微软雅黑"/>
    <w:panose1 w:val="03000509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AD1C1"/>
    <w:multiLevelType w:val="singleLevel"/>
    <w:tmpl w:val="043AD1C1"/>
    <w:lvl w:ilvl="0" w:tentative="0">
      <w:start w:val="7"/>
      <w:numFmt w:val="chineseCounting"/>
      <w:suff w:val="nothing"/>
      <w:lvlText w:val="%1、"/>
      <w:lvlJc w:val="left"/>
      <w:rPr>
        <w:rFonts w:hint="eastAsia"/>
      </w:rPr>
    </w:lvl>
  </w:abstractNum>
  <w:abstractNum w:abstractNumId="1">
    <w:nsid w:val="69E2F40E"/>
    <w:multiLevelType w:val="singleLevel"/>
    <w:tmpl w:val="69E2F40E"/>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hhNGM1ZTk3MjFjMzUwNDA0NDk0Njg3OTRmYzFiZjgifQ=="/>
  </w:docVars>
  <w:rsids>
    <w:rsidRoot w:val="00172A27"/>
    <w:rsid w:val="00112417"/>
    <w:rsid w:val="02E64D83"/>
    <w:rsid w:val="03122349"/>
    <w:rsid w:val="04101FD7"/>
    <w:rsid w:val="04253689"/>
    <w:rsid w:val="05DB0F11"/>
    <w:rsid w:val="06CC0E06"/>
    <w:rsid w:val="08471B55"/>
    <w:rsid w:val="0882137C"/>
    <w:rsid w:val="0A14082D"/>
    <w:rsid w:val="0E8126AA"/>
    <w:rsid w:val="0FEE34C9"/>
    <w:rsid w:val="101E46CB"/>
    <w:rsid w:val="10A9714A"/>
    <w:rsid w:val="129C545E"/>
    <w:rsid w:val="170237EB"/>
    <w:rsid w:val="18074FB8"/>
    <w:rsid w:val="19377C8F"/>
    <w:rsid w:val="197373F8"/>
    <w:rsid w:val="1B740D26"/>
    <w:rsid w:val="1BC97E0C"/>
    <w:rsid w:val="1BEC10B7"/>
    <w:rsid w:val="1D280665"/>
    <w:rsid w:val="1DD416D3"/>
    <w:rsid w:val="1E544E3F"/>
    <w:rsid w:val="1EB040AF"/>
    <w:rsid w:val="201605FE"/>
    <w:rsid w:val="208A2D9A"/>
    <w:rsid w:val="209D487B"/>
    <w:rsid w:val="23264FFC"/>
    <w:rsid w:val="2405635C"/>
    <w:rsid w:val="24343749"/>
    <w:rsid w:val="244B2840"/>
    <w:rsid w:val="24AA6303"/>
    <w:rsid w:val="24C7335B"/>
    <w:rsid w:val="25E12227"/>
    <w:rsid w:val="27D8266C"/>
    <w:rsid w:val="28732370"/>
    <w:rsid w:val="2A031C46"/>
    <w:rsid w:val="2A4E47F8"/>
    <w:rsid w:val="2DDE4722"/>
    <w:rsid w:val="2F1C4189"/>
    <w:rsid w:val="2FE57AA4"/>
    <w:rsid w:val="30937EBE"/>
    <w:rsid w:val="37A42448"/>
    <w:rsid w:val="37CA7274"/>
    <w:rsid w:val="3A7408C2"/>
    <w:rsid w:val="3BE75D96"/>
    <w:rsid w:val="3D605712"/>
    <w:rsid w:val="3E584990"/>
    <w:rsid w:val="3EDE6333"/>
    <w:rsid w:val="40996ECE"/>
    <w:rsid w:val="415A6CD3"/>
    <w:rsid w:val="43163FB2"/>
    <w:rsid w:val="43A713E9"/>
    <w:rsid w:val="48A05B65"/>
    <w:rsid w:val="49B34C53"/>
    <w:rsid w:val="4AF3039C"/>
    <w:rsid w:val="4D562B51"/>
    <w:rsid w:val="4FA11C99"/>
    <w:rsid w:val="51D475AB"/>
    <w:rsid w:val="530F0D59"/>
    <w:rsid w:val="54167ACB"/>
    <w:rsid w:val="54FC788F"/>
    <w:rsid w:val="57AB508F"/>
    <w:rsid w:val="57BA0D06"/>
    <w:rsid w:val="5CCB4EB4"/>
    <w:rsid w:val="5EC23124"/>
    <w:rsid w:val="5F013F27"/>
    <w:rsid w:val="5F9D043D"/>
    <w:rsid w:val="601657BE"/>
    <w:rsid w:val="6258003C"/>
    <w:rsid w:val="6316571E"/>
    <w:rsid w:val="63672099"/>
    <w:rsid w:val="64A01A09"/>
    <w:rsid w:val="64BC0717"/>
    <w:rsid w:val="65711E97"/>
    <w:rsid w:val="66A918DA"/>
    <w:rsid w:val="67911B85"/>
    <w:rsid w:val="67B5000D"/>
    <w:rsid w:val="6AD801D5"/>
    <w:rsid w:val="6BCF35CC"/>
    <w:rsid w:val="72AD3BD6"/>
    <w:rsid w:val="72DA6C93"/>
    <w:rsid w:val="735669F3"/>
    <w:rsid w:val="74491C22"/>
    <w:rsid w:val="751E2C9F"/>
    <w:rsid w:val="75A3202E"/>
    <w:rsid w:val="7839522C"/>
    <w:rsid w:val="79E13B58"/>
    <w:rsid w:val="7B58255A"/>
    <w:rsid w:val="7BEA2838"/>
    <w:rsid w:val="7F9A3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b/>
      <w:bCs/>
      <w:kern w:val="0"/>
      <w:sz w:val="26"/>
      <w:szCs w:val="26"/>
      <w:lang w:val="en-US" w:eastAsia="zh-CN" w:bidi="ar"/>
    </w:rPr>
  </w:style>
  <w:style w:type="character" w:default="1" w:styleId="10">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eastAsia="Times New Roman" w:cs="Times New Roman"/>
      <w:sz w:val="20"/>
      <w:szCs w:val="20"/>
    </w:rPr>
    <w:tblPr>
      <w:tblCellMar>
        <w:top w:w="0" w:type="dxa"/>
        <w:left w:w="108" w:type="dxa"/>
        <w:bottom w:w="0" w:type="dxa"/>
        <w:right w:w="108" w:type="dxa"/>
      </w:tblCellMar>
    </w:tblPr>
  </w:style>
  <w:style w:type="paragraph" w:styleId="3">
    <w:name w:val="Body Text"/>
    <w:basedOn w:val="1"/>
    <w:next w:val="4"/>
    <w:qFormat/>
    <w:uiPriority w:val="0"/>
    <w:pPr>
      <w:keepNext w:val="0"/>
      <w:keepLines w:val="0"/>
      <w:widowControl w:val="0"/>
      <w:suppressLineNumbers w:val="0"/>
      <w:spacing w:before="0" w:beforeAutospacing="0" w:after="120" w:afterAutospacing="0"/>
      <w:ind w:left="0" w:right="0"/>
      <w:jc w:val="both"/>
    </w:pPr>
    <w:rPr>
      <w:rFonts w:hint="default" w:ascii="Times New Roman" w:hAnsi="Times New Roman" w:eastAsia="宋体" w:cs="Times New Roman"/>
      <w:kern w:val="2"/>
      <w:sz w:val="21"/>
      <w:szCs w:val="21"/>
      <w:lang w:val="en-US" w:eastAsia="zh-CN" w:bidi="ar"/>
    </w:rPr>
  </w:style>
  <w:style w:type="paragraph" w:styleId="4">
    <w:name w:val="Body Text First Indent"/>
    <w:basedOn w:val="3"/>
    <w:qFormat/>
    <w:uiPriority w:val="0"/>
    <w:pPr>
      <w:keepNext w:val="0"/>
      <w:keepLines w:val="0"/>
      <w:widowControl/>
      <w:suppressLineNumbers w:val="0"/>
      <w:adjustRightInd w:val="0"/>
      <w:snapToGrid w:val="0"/>
      <w:spacing w:before="0" w:beforeAutospacing="0" w:after="120" w:afterAutospacing="0"/>
      <w:ind w:left="0" w:right="0" w:firstLine="420" w:firstLineChars="100"/>
      <w:jc w:val="left"/>
    </w:pPr>
    <w:rPr>
      <w:rFonts w:hint="default" w:ascii="Tahoma" w:hAnsi="Tahoma" w:eastAsia="微软雅黑" w:cs="Times New Roman"/>
      <w:kern w:val="0"/>
      <w:sz w:val="22"/>
      <w:szCs w:val="22"/>
      <w:lang w:val="en-US" w:eastAsia="zh-CN" w:bidi="ar"/>
    </w:rPr>
  </w:style>
  <w:style w:type="paragraph" w:styleId="5">
    <w:name w:val="Plain Text"/>
    <w:basedOn w:val="1"/>
    <w:unhideWhenUsed/>
    <w:qFormat/>
    <w:uiPriority w:val="99"/>
    <w:rPr>
      <w:rFonts w:ascii="宋体" w:hAnsi="Courier New" w:cs="Courier New"/>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1">
    <w:name w:val="page number"/>
    <w:basedOn w:val="10"/>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9689</Words>
  <Characters>12680</Characters>
  <Lines>0</Lines>
  <Paragraphs>0</Paragraphs>
  <TotalTime>0</TotalTime>
  <ScaleCrop>false</ScaleCrop>
  <LinksUpToDate>false</LinksUpToDate>
  <CharactersWithSpaces>12725</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2024-04-08T02:32:00Z</dcterms:created>
  <dc:creator>Administrator</dc:creator>
  <cp:lastModifiedBy>Administrator</cp:lastModifiedBy>
  <dcterms:modified xsi:type="dcterms:W3CDTF">2024-09-09T03:38:22Z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01F7C957CF3945F78EFE761992B423F5_12</vt:lpwstr>
  </property>
</Properties>
</file>