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drawing>
          <wp:inline distT="0" distB="0" distL="0" distR="0">
            <wp:extent cx="1619250" cy="457200"/>
            <wp:effectExtent t="0" r="0" b="0" l="0"/>
            <wp:docPr id="1" name="Straatix Talent Atlas logo" descr="Straatix Talent Atlas logo" title="Straatix Talent Atl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457200"/>
                    </a:xfrm>
                    <a:prstGeom prst="rect">
                      <a:avLst/>
                    </a:prstGeom>
                  </pic:spPr>
                </pic:pic>
              </a:graphicData>
            </a:graphic>
          </wp:inline>
        </w:drawing>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900"/>
        <w:gridCol w:w="4612"/>
      </w:tblGrid>
      <w:tr>
        <w:tc>
          <w:tcPr>
            <w:tcW w:type="dxa" w:w="5900"/>
            <w:tcBorders>
              <w:top w:val="none" w:color="FFFFFF" w:sz="0"/>
              <w:left w:val="none" w:color="FFFFFF" w:sz="0"/>
              <w:bottom w:val="none" w:color="FFFFFF" w:sz="0"/>
              <w:right w:val="none" w:color="FFFFFF" w:sz="0"/>
            </w:tcBorders>
            <w:tcMar>
              <w:top w:type="dxa" w:w="120"/>
              <w:left w:type="dxa" w:w="0"/>
              <w:bottom w:type="dxa" w:w="120"/>
              <w:right w:type="dxa" w:w="240"/>
            </w:tcMar>
            <w:vAlign w:val="top"/>
          </w:tcPr>
          <w:p>
            <w:pPr>
              <w:keepNext/>
              <w:spacing w:after="70" w:before="40"/>
            </w:pPr>
            <w:r>
              <w:rPr>
                <w:rFonts w:ascii="Arial" w:cs="Arial" w:eastAsia="Arial" w:hAnsi="Arial"/>
                <w:b/>
                <w:bCs/>
                <w:color w:val="008C83"/>
                <w:sz w:val="18"/>
                <w:szCs w:val="18"/>
              </w:rPr>
              <w:t xml:space="preserve">STRAATIX ENGINEERING INTERNSHIP PROJECT | AUGUST 2026</w:t>
            </w:r>
          </w:p>
          <w:p>
            <w:pPr>
              <w:spacing w:after="110"/>
            </w:pPr>
            <w:r>
              <w:rPr>
                <w:rFonts w:ascii="Georgia" w:cs="Georgia" w:eastAsia="Georgia" w:hAnsi="Georgia"/>
                <w:b/>
                <w:bCs/>
                <w:color w:val="17324D"/>
                <w:sz w:val="64"/>
                <w:szCs w:val="64"/>
              </w:rPr>
              <w:t xml:space="preserve">Building Talent Atlas</w:t>
            </w:r>
          </w:p>
          <w:p>
            <w:pPr>
              <w:spacing w:after="140" w:line="310"/>
            </w:pPr>
            <w:r>
              <w:rPr>
                <w:rFonts w:ascii="Georgia" w:cs="Georgia" w:eastAsia="Georgia" w:hAnsi="Georgia"/>
                <w:color w:val="17324D"/>
                <w:sz w:val="28"/>
                <w:szCs w:val="28"/>
              </w:rPr>
              <w:t xml:space="preserve">An evidence-grounded hybrid RAG search system for precise talent matching</w:t>
            </w:r>
          </w:p>
          <w:p>
            <w:pPr>
              <w:spacing w:after="50"/>
            </w:pPr>
            <w:hyperlink w:history="1" r:id="rIdamcxcb0uuvksu9huvcyqp">
              <w:r>
                <w:rPr>
                  <w:rFonts w:ascii="Arial" w:cs="Arial" w:eastAsia="Arial" w:hAnsi="Arial"/>
                  <w:b/>
                  <w:bCs/>
                  <w:color w:val="E99132"/>
                  <w:sz w:val="20"/>
                  <w:szCs w:val="20"/>
                  <w:u w:val="single"/>
                </w:rPr>
                <w:t xml:space="preserve">TRY THE LIVE DEMO</w:t>
              </w:r>
            </w:hyperlink>
          </w:p>
          <w:p>
            <w:pPr>
              <w:spacing w:after="0"/>
            </w:pPr>
            <w:hyperlink w:history="1" r:id="rIdpzilff3zeuohkwefurz6u">
              <w:r>
                <w:rPr>
                  <w:rFonts w:ascii="Arial" w:cs="Arial" w:eastAsia="Arial" w:hAnsi="Arial"/>
                  <w:b w:val="false"/>
                  <w:bCs w:val="false"/>
                  <w:color w:val="008C83"/>
                  <w:sz w:val="18"/>
                  <w:szCs w:val="18"/>
                  <w:u w:val="single"/>
                </w:rPr>
                <w:t xml:space="preserve">Read the engineering journal</w:t>
              </w:r>
            </w:hyperlink>
          </w:p>
        </w:tc>
        <w:tc>
          <w:tcPr>
            <w:tcW w:type="dxa" w:w="4612"/>
            <w:tcBorders>
              <w:top w:val="single" w:color="C8D4DC" w:sz="5"/>
              <w:left w:val="single" w:color="C8D4DC" w:sz="5"/>
              <w:bottom w:val="single" w:color="C8D4DC" w:sz="5"/>
              <w:right w:val="single" w:color="C8D4DC" w:sz="5"/>
            </w:tcBorders>
            <w:shd w:fill="EDF3F7" w:val="clear"/>
            <w:tcMar>
              <w:top w:type="dxa" w:w="120"/>
              <w:left w:type="dxa" w:w="150"/>
              <w:bottom w:type="dxa" w:w="120"/>
              <w:right w:type="dxa" w:w="150"/>
            </w:tcMar>
            <w:vAlign w:val="center"/>
          </w:tcPr>
          <w:p>
            <w:pPr>
              <w:spacing w:after="25"/>
              <w:jc w:val="center"/>
            </w:pPr>
            <w:r>
              <w:drawing>
                <wp:inline distT="0" distB="0" distL="0" distR="0">
                  <wp:extent cx="2590800" cy="2381250"/>
                  <wp:effectExtent t="0" r="0" b="0" l="0"/>
                  <wp:docPr id="1" name="Talent Atlas recruiter search interface" descr="Talent Atlas recruiter search interface" title="Talent Atlas recruiter searc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90800" cy="2381250"/>
                          </a:xfrm>
                          <a:prstGeom prst="rect">
                            <a:avLst/>
                          </a:prstGeom>
                        </pic:spPr>
                      </pic:pic>
                    </a:graphicData>
                  </a:graphic>
                </wp:inline>
              </w:drawing>
            </w:r>
          </w:p>
          <w:p>
            <w:pPr>
              <w:spacing w:after="0" w:line="190"/>
              <w:jc w:val="center"/>
            </w:pPr>
            <w:r>
              <w:rPr>
                <w:rFonts w:ascii="Arial" w:cs="Arial" w:eastAsia="Arial" w:hAnsi="Arial"/>
                <w:color w:val="596A78"/>
                <w:sz w:val="14"/>
                <w:szCs w:val="14"/>
              </w:rPr>
              <w:t xml:space="preserve">The public showcase uses transformed demonstration data; generated fields such as location and salary are synthetic.</w:t>
            </w:r>
          </w:p>
        </w:tc>
      </w:tr>
    </w:tbl>
    <w:p>
      <w:pPr>
        <w:pStyle w:val="Heading2"/>
        <w:keepNext/>
        <w:spacing w:after="75" w:before="130"/>
      </w:pPr>
      <w:r>
        <w:rPr>
          <w:rFonts w:ascii="Georgia" w:cs="Georgia" w:eastAsia="Georgia" w:hAnsi="Georgia"/>
          <w:b/>
          <w:bCs/>
          <w:color w:val="17324D"/>
          <w:sz w:val="28"/>
          <w:szCs w:val="28"/>
        </w:rPr>
        <w:t xml:space="preserve">Executive thesis</w:t>
      </w:r>
    </w:p>
    <w:p>
      <w:pPr>
        <w:spacing w:after="110" w:line="250"/>
      </w:pPr>
      <w:r>
        <w:rPr>
          <w:rFonts w:ascii="Arial" w:cs="Arial" w:eastAsia="Arial" w:hAnsi="Arial"/>
        </w:rPr>
        <w:t xml:space="preserve">Talent search fails when meaning is treated as a substitute for facts. Talent Atlas combines semantic retrieval over resume evidence with exact keywords, canonical skills and structured PostgreSQL filters. The system returns one candidate-level ranking, the passages that support it and the score components behind the order. A typed agent makes the same engine conversational, while Pydantic validation, deterministic ranking and Langfuse traces keep model behavior inspectable.</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008C83" w:sz="22"/>
              <w:bottom w:val="none" w:color="FFFFFF" w:sz="0"/>
              <w:right w:val="none" w:color="FFFFFF" w:sz="0"/>
            </w:tcBorders>
            <w:shd w:fill="E9F4F2" w:val="clear"/>
            <w:tcMar>
              <w:top w:type="dxa" w:w="120"/>
              <w:left w:type="dxa" w:w="150"/>
              <w:bottom w:type="dxa" w:w="120"/>
              <w:right w:type="dxa" w:w="150"/>
            </w:tcMar>
            <w:vAlign w:val="top"/>
          </w:tcPr>
          <w:p>
            <w:pPr>
              <w:spacing w:after="0" w:line="240"/>
            </w:pPr>
            <w:r>
              <w:rPr>
                <w:rFonts w:ascii="Arial" w:cs="Arial" w:eastAsia="Arial" w:hAnsi="Arial"/>
                <w:b/>
                <w:bCs/>
                <w:color w:val="008C83"/>
                <w:sz w:val="19"/>
                <w:szCs w:val="19"/>
              </w:rPr>
              <w:t xml:space="preserve">The design boundary  </w:t>
            </w:r>
            <w:r>
              <w:rPr>
                <w:rFonts w:ascii="Arial" w:cs="Arial" w:eastAsia="Arial" w:hAnsi="Arial"/>
                <w:color w:val="243442"/>
                <w:sz w:val="18"/>
                <w:szCs w:val="18"/>
              </w:rPr>
              <w:t xml:space="preserve">The LLM interprets intent and chooses tools. It does not invent candidates, calculate similarity, bypass hard filters or silently rewrite evidence.</w:t>
            </w:r>
          </w:p>
        </w:tc>
      </w:tr>
    </w:tbl>
    <w:p>
      <w:pPr>
        <w:pStyle w:val="Heading2"/>
        <w:keepNext/>
        <w:spacing w:after="75" w:before="130"/>
      </w:pPr>
      <w:r>
        <w:rPr>
          <w:rFonts w:ascii="Georgia" w:cs="Georgia" w:eastAsia="Georgia" w:hAnsi="Georgia"/>
          <w:b/>
          <w:bCs/>
          <w:color w:val="17324D"/>
          <w:sz w:val="28"/>
          <w:szCs w:val="28"/>
        </w:rPr>
        <w:t xml:space="preserve">What this prototype demonstrates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628"/>
        <w:gridCol w:w="2628"/>
        <w:gridCol w:w="2628"/>
        <w:gridCol w:w="2628"/>
      </w:tblGrid>
      <w:tr>
        <w:tc>
          <w:tcPr>
            <w:tcW w:type="dxa" w:w="2628"/>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01</w:t>
            </w:r>
          </w:p>
          <w:p>
            <w:pPr>
              <w:keepNext/>
              <w:spacing w:after="60"/>
            </w:pPr>
            <w:r>
              <w:rPr>
                <w:rFonts w:ascii="Georgia" w:cs="Georgia" w:eastAsia="Georgia" w:hAnsi="Georgia"/>
                <w:b/>
                <w:bCs/>
                <w:color w:val="17324D"/>
                <w:sz w:val="22"/>
                <w:szCs w:val="22"/>
              </w:rPr>
              <w:t xml:space="preserve">Hybrid retrieval</w:t>
            </w:r>
          </w:p>
          <w:p>
            <w:pPr>
              <w:spacing w:after="0" w:line="225"/>
            </w:pPr>
            <w:r>
              <w:rPr>
                <w:rFonts w:ascii="Arial" w:cs="Arial" w:eastAsia="Arial" w:hAnsi="Arial"/>
                <w:color w:val="243442"/>
                <w:sz w:val="17"/>
                <w:szCs w:val="17"/>
              </w:rPr>
              <w:t xml:space="preserve">Meaning, literal terms, exact skills and SQL constraints contribute independently.</w:t>
            </w:r>
          </w:p>
        </w:tc>
        <w:tc>
          <w:tcPr>
            <w:tcW w:type="dxa" w:w="2628"/>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02</w:t>
            </w:r>
          </w:p>
          <w:p>
            <w:pPr>
              <w:keepNext/>
              <w:spacing w:after="60"/>
            </w:pPr>
            <w:r>
              <w:rPr>
                <w:rFonts w:ascii="Georgia" w:cs="Georgia" w:eastAsia="Georgia" w:hAnsi="Georgia"/>
                <w:b/>
                <w:bCs/>
                <w:color w:val="17324D"/>
                <w:sz w:val="22"/>
                <w:szCs w:val="22"/>
              </w:rPr>
              <w:t xml:space="preserve">Evidence-first ranking</w:t>
            </w:r>
          </w:p>
          <w:p>
            <w:pPr>
              <w:spacing w:after="0" w:line="225"/>
            </w:pPr>
            <w:r>
              <w:rPr>
                <w:rFonts w:ascii="Arial" w:cs="Arial" w:eastAsia="Arial" w:hAnsi="Arial"/>
                <w:color w:val="243442"/>
                <w:sz w:val="17"/>
                <w:szCs w:val="17"/>
              </w:rPr>
              <w:t xml:space="preserve">Chunks are grouped into people, scored and returned with supporting passages.</w:t>
            </w:r>
          </w:p>
        </w:tc>
        <w:tc>
          <w:tcPr>
            <w:tcW w:type="dxa" w:w="2628"/>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03</w:t>
            </w:r>
          </w:p>
          <w:p>
            <w:pPr>
              <w:keepNext/>
              <w:spacing w:after="60"/>
            </w:pPr>
            <w:r>
              <w:rPr>
                <w:rFonts w:ascii="Georgia" w:cs="Georgia" w:eastAsia="Georgia" w:hAnsi="Georgia"/>
                <w:b/>
                <w:bCs/>
                <w:color w:val="17324D"/>
                <w:sz w:val="22"/>
                <w:szCs w:val="22"/>
              </w:rPr>
              <w:t xml:space="preserve">Typed agent access</w:t>
            </w:r>
          </w:p>
          <w:p>
            <w:pPr>
              <w:spacing w:after="0" w:line="225"/>
            </w:pPr>
            <w:r>
              <w:rPr>
                <w:rFonts w:ascii="Arial" w:cs="Arial" w:eastAsia="Arial" w:hAnsi="Arial"/>
                <w:color w:val="243442"/>
                <w:sz w:val="17"/>
                <w:szCs w:val="17"/>
              </w:rPr>
              <w:t xml:space="preserve">Natural language becomes validated JSON before the shared search endpoint runs.</w:t>
            </w:r>
          </w:p>
        </w:tc>
        <w:tc>
          <w:tcPr>
            <w:tcW w:type="dxa" w:w="2628"/>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04</w:t>
            </w:r>
          </w:p>
          <w:p>
            <w:pPr>
              <w:keepNext/>
              <w:spacing w:after="60"/>
            </w:pPr>
            <w:r>
              <w:rPr>
                <w:rFonts w:ascii="Georgia" w:cs="Georgia" w:eastAsia="Georgia" w:hAnsi="Georgia"/>
                <w:b/>
                <w:bCs/>
                <w:color w:val="17324D"/>
                <w:sz w:val="22"/>
                <w:szCs w:val="22"/>
              </w:rPr>
              <w:t xml:space="preserve">Observable learning</w:t>
            </w:r>
          </w:p>
          <w:p>
            <w:pPr>
              <w:spacing w:after="0" w:line="225"/>
            </w:pPr>
            <w:r>
              <w:rPr>
                <w:rFonts w:ascii="Arial" w:cs="Arial" w:eastAsia="Arial" w:hAnsi="Arial"/>
                <w:color w:val="243442"/>
                <w:sz w:val="17"/>
                <w:szCs w:val="17"/>
              </w:rPr>
              <w:t xml:space="preserve">Traces, impressions and governed outcomes support measured iteration.</w:t>
            </w:r>
          </w:p>
        </w:tc>
      </w:tr>
    </w:tbl>
    <w:p>
      <w:r>
        <w:br w:type="page"/>
      </w:r>
    </w:p>
    <w:p>
      <w:pPr>
        <w:keepNext/>
        <w:spacing w:after="70" w:before="40"/>
      </w:pPr>
      <w:r>
        <w:rPr>
          <w:rFonts w:ascii="Arial" w:cs="Arial" w:eastAsia="Arial" w:hAnsi="Arial"/>
          <w:b/>
          <w:bCs/>
          <w:color w:val="008C83"/>
          <w:sz w:val="18"/>
          <w:szCs w:val="18"/>
        </w:rPr>
        <w:t xml:space="preserve">01 | PROBLEM, DATA AND ARCHITECTURE</w:t>
      </w:r>
    </w:p>
    <w:p>
      <w:pPr>
        <w:pStyle w:val="Heading1"/>
        <w:keepNext/>
        <w:spacing w:after="150" w:before="30"/>
      </w:pPr>
      <w:r>
        <w:rPr>
          <w:rFonts w:ascii="Georgia" w:cs="Georgia" w:eastAsia="Georgia" w:hAnsi="Georgia"/>
          <w:b/>
          <w:bCs/>
          <w:color w:val="17324D"/>
          <w:sz w:val="42"/>
          <w:szCs w:val="42"/>
        </w:rPr>
        <w:t xml:space="preserve">Meaning and exactness must coexist</w:t>
      </w:r>
    </w:p>
    <w:p>
      <w:pPr>
        <w:spacing w:after="110" w:line="250"/>
      </w:pPr>
      <w:r>
        <w:rPr>
          <w:rFonts w:ascii="Arial" w:cs="Arial" w:eastAsia="Arial" w:hAnsi="Arial"/>
        </w:rPr>
        <w:t xml:space="preserve">A recruiter may ask for a backend engineer who has operated distributed systems in production. That idea may be expressed across a resume without the same words. Yet PostgreSQL, Kubernetes, five years of experience, Bengaluru or a notice-period threshold are not fuzzy concepts. Dense-only search can return a plausible candidate who violates a must-have; keyword-only search can miss equivalent experience. The system therefore separates four kinds of evidence.</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MEANING</w:t>
            </w:r>
          </w:p>
          <w:p>
            <w:pPr>
              <w:keepNext/>
              <w:spacing w:after="60"/>
            </w:pPr>
            <w:r>
              <w:rPr>
                <w:rFonts w:ascii="Georgia" w:cs="Georgia" w:eastAsia="Georgia" w:hAnsi="Georgia"/>
                <w:b/>
                <w:bCs/>
                <w:color w:val="17324D"/>
                <w:sz w:val="22"/>
                <w:szCs w:val="22"/>
              </w:rPr>
              <w:t xml:space="preserve">Vector evidence</w:t>
            </w:r>
          </w:p>
          <w:p>
            <w:pPr>
              <w:spacing w:after="0" w:line="225"/>
            </w:pPr>
            <w:r>
              <w:rPr>
                <w:rFonts w:ascii="Arial" w:cs="Arial" w:eastAsia="Arial" w:hAnsi="Arial"/>
                <w:color w:val="243442"/>
                <w:sz w:val="17"/>
                <w:szCs w:val="17"/>
              </w:rPr>
              <w:t xml:space="preserve">Finds related resume passages even when wording differs.</w:t>
            </w:r>
          </w:p>
        </w:tc>
        <w:tc>
          <w:tcPr>
            <w:tcW w:type="dxa" w:w="5256"/>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WORDS</w:t>
            </w:r>
          </w:p>
          <w:p>
            <w:pPr>
              <w:keepNext/>
              <w:spacing w:after="60"/>
            </w:pPr>
            <w:r>
              <w:rPr>
                <w:rFonts w:ascii="Georgia" w:cs="Georgia" w:eastAsia="Georgia" w:hAnsi="Georgia"/>
                <w:b/>
                <w:bCs/>
                <w:color w:val="17324D"/>
                <w:sz w:val="22"/>
                <w:szCs w:val="22"/>
              </w:rPr>
              <w:t xml:space="preserve">Lexical evidence</w:t>
            </w:r>
          </w:p>
          <w:p>
            <w:pPr>
              <w:spacing w:after="0" w:line="225"/>
            </w:pPr>
            <w:r>
              <w:rPr>
                <w:rFonts w:ascii="Arial" w:cs="Arial" w:eastAsia="Arial" w:hAnsi="Arial"/>
                <w:color w:val="243442"/>
                <w:sz w:val="17"/>
                <w:szCs w:val="17"/>
              </w:rPr>
              <w:t xml:space="preserve">Protects rare technologies, acronyms and exact phrases.</w:t>
            </w:r>
          </w:p>
        </w:tc>
      </w:tr>
      <w:tr>
        <w:tc>
          <w:tcPr>
            <w:tcW w:type="dxa" w:w="5256"/>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FACTS</w:t>
            </w:r>
          </w:p>
          <w:p>
            <w:pPr>
              <w:keepNext/>
              <w:spacing w:after="60"/>
            </w:pPr>
            <w:r>
              <w:rPr>
                <w:rFonts w:ascii="Georgia" w:cs="Georgia" w:eastAsia="Georgia" w:hAnsi="Georgia"/>
                <w:b/>
                <w:bCs/>
                <w:color w:val="17324D"/>
                <w:sz w:val="22"/>
                <w:szCs w:val="22"/>
              </w:rPr>
              <w:t xml:space="preserve">Structured truth</w:t>
            </w:r>
          </w:p>
          <w:p>
            <w:pPr>
              <w:spacing w:after="0" w:line="225"/>
            </w:pPr>
            <w:r>
              <w:rPr>
                <w:rFonts w:ascii="Arial" w:cs="Arial" w:eastAsia="Arial" w:hAnsi="Arial"/>
                <w:color w:val="243442"/>
                <w:sz w:val="17"/>
                <w:szCs w:val="17"/>
              </w:rPr>
              <w:t xml:space="preserve">Applies skills, location, experience, salary and status in SQL.</w:t>
            </w:r>
          </w:p>
        </w:tc>
        <w:tc>
          <w:tcPr>
            <w:tcW w:type="dxa" w:w="5256"/>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PROOF</w:t>
            </w:r>
          </w:p>
          <w:p>
            <w:pPr>
              <w:keepNext/>
              <w:spacing w:after="60"/>
            </w:pPr>
            <w:r>
              <w:rPr>
                <w:rFonts w:ascii="Georgia" w:cs="Georgia" w:eastAsia="Georgia" w:hAnsi="Georgia"/>
                <w:b/>
                <w:bCs/>
                <w:color w:val="17324D"/>
                <w:sz w:val="22"/>
                <w:szCs w:val="22"/>
              </w:rPr>
              <w:t xml:space="preserve">Source evidence</w:t>
            </w:r>
          </w:p>
          <w:p>
            <w:pPr>
              <w:spacing w:after="0" w:line="225"/>
            </w:pPr>
            <w:r>
              <w:rPr>
                <w:rFonts w:ascii="Arial" w:cs="Arial" w:eastAsia="Arial" w:hAnsi="Arial"/>
                <w:color w:val="243442"/>
                <w:sz w:val="17"/>
                <w:szCs w:val="17"/>
              </w:rPr>
              <w:t xml:space="preserve">Keeps every match traceable to a candidate, document and chunk.</w:t>
            </w:r>
          </w:p>
        </w:tc>
      </w:tr>
    </w:tbl>
    <w:p>
      <w:pPr>
        <w:pStyle w:val="Heading2"/>
        <w:keepNext/>
        <w:spacing w:after="75" w:before="130"/>
      </w:pPr>
      <w:r>
        <w:rPr>
          <w:rFonts w:ascii="Georgia" w:cs="Georgia" w:eastAsia="Georgia" w:hAnsi="Georgia"/>
          <w:b/>
          <w:bCs/>
          <w:color w:val="17324D"/>
          <w:sz w:val="28"/>
          <w:szCs w:val="28"/>
        </w:rPr>
        <w:t xml:space="preserve">Getting the data into a searchable shape</w:t>
      </w:r>
    </w:p>
    <w:p>
      <w:pPr>
        <w:spacing w:after="110" w:line="250"/>
      </w:pPr>
      <w:r>
        <w:rPr>
          <w:rFonts w:ascii="Arial" w:cs="Arial" w:eastAsia="Arial" w:hAnsi="Arial"/>
        </w:rPr>
        <w:t xml:space="preserve">The source recruitment dataset did not match the application schema. Each row had to become a candidate record, a resume document and an evaluation case. Missing location and salary fields were generated deterministically for filter testing, emails were replaced with placeholders, and skill and experience fields were extracted with bounded rules. This preserved repeatability without presenting generated attributes as source truth.</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00"/>
              <w:left w:type="dxa" w:w="115"/>
              <w:bottom w:type="dxa" w:w="100"/>
              <w:right w:type="dxa" w:w="95"/>
            </w:tcMar>
            <w:vAlign w:val="top"/>
          </w:tcPr>
          <w:p>
            <w:pPr>
              <w:spacing w:after="45"/>
            </w:pPr>
            <w:r>
              <w:rPr>
                <w:rFonts w:ascii="Arial" w:cs="Arial" w:eastAsia="Arial" w:hAnsi="Arial"/>
                <w:b/>
                <w:bCs/>
                <w:color w:val="3E83A8"/>
                <w:sz w:val="15"/>
                <w:szCs w:val="15"/>
              </w:rPr>
              <w:t xml:space="preserve">1</w:t>
            </w:r>
          </w:p>
          <w:p>
            <w:pPr>
              <w:keepNext/>
              <w:spacing w:after="60"/>
            </w:pPr>
            <w:r>
              <w:rPr>
                <w:rFonts w:ascii="Arial" w:cs="Arial" w:eastAsia="Arial" w:hAnsi="Arial"/>
                <w:b/>
                <w:bCs/>
                <w:color w:val="17324D"/>
                <w:sz w:val="18"/>
                <w:szCs w:val="18"/>
              </w:rPr>
              <w:t xml:space="preserve">Candidate</w:t>
            </w:r>
          </w:p>
          <w:p>
            <w:pPr>
              <w:pStyle w:val="ListParagraph"/>
              <w:numPr>
                <w:ilvl w:val="0"/>
                <w:numId w:val="2"/>
              </w:numPr>
              <w:spacing w:after="34" w:line="200"/>
            </w:pPr>
            <w:r>
              <w:rPr>
                <w:rFonts w:ascii="Arial" w:cs="Arial" w:eastAsia="Arial" w:hAnsi="Arial"/>
                <w:color w:val="243442"/>
                <w:sz w:val="15"/>
                <w:szCs w:val="15"/>
              </w:rPr>
              <w:t xml:space="preserve">identity + status</w:t>
            </w:r>
          </w:p>
          <w:p>
            <w:pPr>
              <w:pStyle w:val="ListParagraph"/>
              <w:numPr>
                <w:ilvl w:val="0"/>
                <w:numId w:val="2"/>
              </w:numPr>
              <w:spacing w:after="34" w:line="200"/>
            </w:pPr>
            <w:r>
              <w:rPr>
                <w:rFonts w:ascii="Arial" w:cs="Arial" w:eastAsia="Arial" w:hAnsi="Arial"/>
                <w:color w:val="243442"/>
                <w:sz w:val="15"/>
                <w:szCs w:val="15"/>
              </w:rPr>
              <w:t xml:space="preserve">skills + experience</w:t>
            </w:r>
          </w:p>
          <w:p>
            <w:pPr>
              <w:pStyle w:val="ListParagraph"/>
              <w:numPr>
                <w:ilvl w:val="0"/>
                <w:numId w:val="2"/>
              </w:numPr>
              <w:spacing w:after="34" w:line="200"/>
            </w:pPr>
            <w:r>
              <w:rPr>
                <w:rFonts w:ascii="Arial" w:cs="Arial" w:eastAsia="Arial" w:hAnsi="Arial"/>
                <w:color w:val="243442"/>
                <w:sz w:val="15"/>
                <w:szCs w:val="15"/>
              </w:rPr>
              <w:t xml:space="preserve">location + salary</w:t>
            </w:r>
          </w:p>
        </w:tc>
        <w:tc>
          <w:tcPr>
            <w:tcW w:type="dxa" w:w="3504"/>
            <w:tcBorders>
              <w:top w:val="single" w:color="C8D4DC" w:sz="5"/>
              <w:left w:val="single" w:color="C8D4DC" w:sz="5"/>
              <w:bottom w:val="single" w:color="C8D4DC" w:sz="5"/>
              <w:right w:val="single" w:color="C8D4DC" w:sz="5"/>
            </w:tcBorders>
            <w:shd w:fill="E9F4F2" w:val="clear"/>
            <w:tcMar>
              <w:top w:type="dxa" w:w="100"/>
              <w:left w:type="dxa" w:w="115"/>
              <w:bottom w:type="dxa" w:w="100"/>
              <w:right w:type="dxa" w:w="95"/>
            </w:tcMar>
            <w:vAlign w:val="top"/>
          </w:tcPr>
          <w:p>
            <w:pPr>
              <w:spacing w:after="45"/>
            </w:pPr>
            <w:r>
              <w:rPr>
                <w:rFonts w:ascii="Arial" w:cs="Arial" w:eastAsia="Arial" w:hAnsi="Arial"/>
                <w:b/>
                <w:bCs/>
                <w:color w:val="008C83"/>
                <w:sz w:val="15"/>
                <w:szCs w:val="15"/>
              </w:rPr>
              <w:t xml:space="preserve">2</w:t>
            </w:r>
          </w:p>
          <w:p>
            <w:pPr>
              <w:keepNext/>
              <w:spacing w:after="60"/>
            </w:pPr>
            <w:r>
              <w:rPr>
                <w:rFonts w:ascii="Arial" w:cs="Arial" w:eastAsia="Arial" w:hAnsi="Arial"/>
                <w:b/>
                <w:bCs/>
                <w:color w:val="17324D"/>
                <w:sz w:val="18"/>
                <w:szCs w:val="18"/>
              </w:rPr>
              <w:t xml:space="preserve">Document</w:t>
            </w:r>
          </w:p>
          <w:p>
            <w:pPr>
              <w:pStyle w:val="ListParagraph"/>
              <w:numPr>
                <w:ilvl w:val="0"/>
                <w:numId w:val="2"/>
              </w:numPr>
              <w:spacing w:after="34" w:line="200"/>
            </w:pPr>
            <w:r>
              <w:rPr>
                <w:rFonts w:ascii="Arial" w:cs="Arial" w:eastAsia="Arial" w:hAnsi="Arial"/>
                <w:color w:val="243442"/>
                <w:sz w:val="15"/>
                <w:szCs w:val="15"/>
              </w:rPr>
              <w:t xml:space="preserve">resume or notes</w:t>
            </w:r>
          </w:p>
          <w:p>
            <w:pPr>
              <w:pStyle w:val="ListParagraph"/>
              <w:numPr>
                <w:ilvl w:val="0"/>
                <w:numId w:val="2"/>
              </w:numPr>
              <w:spacing w:after="34" w:line="200"/>
            </w:pPr>
            <w:r>
              <w:rPr>
                <w:rFonts w:ascii="Arial" w:cs="Arial" w:eastAsia="Arial" w:hAnsi="Arial"/>
                <w:color w:val="243442"/>
                <w:sz w:val="15"/>
                <w:szCs w:val="15"/>
              </w:rPr>
              <w:t xml:space="preserve">source metadata</w:t>
            </w:r>
          </w:p>
          <w:p>
            <w:pPr>
              <w:pStyle w:val="ListParagraph"/>
              <w:numPr>
                <w:ilvl w:val="0"/>
                <w:numId w:val="2"/>
              </w:numPr>
              <w:spacing w:after="34" w:line="200"/>
            </w:pPr>
            <w:r>
              <w:rPr>
                <w:rFonts w:ascii="Arial" w:cs="Arial" w:eastAsia="Arial" w:hAnsi="Arial"/>
                <w:color w:val="243442"/>
                <w:sz w:val="15"/>
                <w:szCs w:val="15"/>
              </w:rPr>
              <w:t xml:space="preserve">content hash for dedup</w:t>
            </w:r>
          </w:p>
        </w:tc>
        <w:tc>
          <w:tcPr>
            <w:tcW w:type="dxa" w:w="3504"/>
            <w:tcBorders>
              <w:top w:val="single" w:color="C8D4DC" w:sz="5"/>
              <w:left w:val="single" w:color="C8D4DC" w:sz="5"/>
              <w:bottom w:val="single" w:color="C8D4DC" w:sz="5"/>
              <w:right w:val="single" w:color="C8D4DC" w:sz="5"/>
            </w:tcBorders>
            <w:shd w:fill="FFF2E3"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3</w:t>
            </w:r>
          </w:p>
          <w:p>
            <w:pPr>
              <w:keepNext/>
              <w:spacing w:after="60"/>
            </w:pPr>
            <w:r>
              <w:rPr>
                <w:rFonts w:ascii="Arial" w:cs="Arial" w:eastAsia="Arial" w:hAnsi="Arial"/>
                <w:b/>
                <w:bCs/>
                <w:color w:val="17324D"/>
                <w:sz w:val="18"/>
                <w:szCs w:val="18"/>
              </w:rPr>
              <w:t xml:space="preserve">Chunk</w:t>
            </w:r>
          </w:p>
          <w:p>
            <w:pPr>
              <w:pStyle w:val="ListParagraph"/>
              <w:numPr>
                <w:ilvl w:val="0"/>
                <w:numId w:val="2"/>
              </w:numPr>
              <w:spacing w:after="34" w:line="200"/>
            </w:pPr>
            <w:r>
              <w:rPr>
                <w:rFonts w:ascii="Arial" w:cs="Arial" w:eastAsia="Arial" w:hAnsi="Arial"/>
                <w:color w:val="243442"/>
                <w:sz w:val="15"/>
                <w:szCs w:val="15"/>
              </w:rPr>
              <w:t xml:space="preserve">token-aware passage</w:t>
            </w:r>
          </w:p>
          <w:p>
            <w:pPr>
              <w:pStyle w:val="ListParagraph"/>
              <w:numPr>
                <w:ilvl w:val="0"/>
                <w:numId w:val="2"/>
              </w:numPr>
              <w:spacing w:after="34" w:line="200"/>
            </w:pPr>
            <w:r>
              <w:rPr>
                <w:rFonts w:ascii="Arial" w:cs="Arial" w:eastAsia="Arial" w:hAnsi="Arial"/>
                <w:color w:val="243442"/>
                <w:sz w:val="15"/>
                <w:szCs w:val="15"/>
              </w:rPr>
              <w:t xml:space="preserve">384-value embedding</w:t>
            </w:r>
          </w:p>
          <w:p>
            <w:pPr>
              <w:pStyle w:val="ListParagraph"/>
              <w:numPr>
                <w:ilvl w:val="0"/>
                <w:numId w:val="2"/>
              </w:numPr>
              <w:spacing w:after="34" w:line="200"/>
            </w:pPr>
            <w:r>
              <w:rPr>
                <w:rFonts w:ascii="Arial" w:cs="Arial" w:eastAsia="Arial" w:hAnsi="Arial"/>
                <w:color w:val="243442"/>
                <w:sz w:val="15"/>
                <w:szCs w:val="15"/>
              </w:rPr>
              <w:t xml:space="preserve">candidate + document links</w:t>
            </w:r>
          </w:p>
        </w:tc>
      </w:tr>
    </w:tbl>
    <w:p>
      <w:pPr>
        <w:pStyle w:val="Heading2"/>
        <w:keepNext/>
        <w:spacing w:after="75" w:before="130"/>
      </w:pPr>
      <w:r>
        <w:rPr>
          <w:rFonts w:ascii="Georgia" w:cs="Georgia" w:eastAsia="Georgia" w:hAnsi="Georgia"/>
          <w:b/>
          <w:bCs/>
          <w:color w:val="17324D"/>
          <w:sz w:val="28"/>
          <w:szCs w:val="28"/>
        </w:rPr>
        <w:t xml:space="preserve">Why PostgreSQL and pgvector</w:t>
      </w:r>
    </w:p>
    <w:p>
      <w:pPr>
        <w:spacing w:after="110" w:line="250"/>
      </w:pPr>
      <w:r>
        <w:rPr>
          <w:rFonts w:ascii="Arial" w:cs="Arial" w:eastAsia="Arial" w:hAnsi="Arial"/>
        </w:rPr>
        <w:t xml:space="preserve">One database keeps candidate relationships, hard filters, full-text search and vectors close enough to coordinate in a single request. pgvector supports exact distance as well as HNSW approximate search; HNSW's ef_search parameter exposes the expected recall-versus-latency trade-off. This avoided a second vector database and its synchronization path while leaving clear scaling options through connection pooling, caching and background workers. [2]</w:t>
      </w:r>
    </w:p>
    <w:p>
      <w:r>
        <w:br w:type="page"/>
      </w:r>
    </w:p>
    <w:p>
      <w:pPr>
        <w:keepNext/>
        <w:spacing w:after="70" w:before="40"/>
      </w:pPr>
      <w:r>
        <w:rPr>
          <w:rFonts w:ascii="Arial" w:cs="Arial" w:eastAsia="Arial" w:hAnsi="Arial"/>
          <w:b/>
          <w:bCs/>
          <w:color w:val="008C83"/>
          <w:sz w:val="18"/>
          <w:szCs w:val="18"/>
        </w:rPr>
        <w:t xml:space="preserve">02 | THE SEARCH ENGINE</w:t>
      </w:r>
    </w:p>
    <w:p>
      <w:pPr>
        <w:pStyle w:val="Heading1"/>
        <w:keepNext/>
        <w:spacing w:after="150" w:before="30"/>
      </w:pPr>
      <w:r>
        <w:rPr>
          <w:rFonts w:ascii="Georgia" w:cs="Georgia" w:eastAsia="Georgia" w:hAnsi="Georgia"/>
          <w:b/>
          <w:bCs/>
          <w:color w:val="17324D"/>
          <w:sz w:val="42"/>
          <w:szCs w:val="42"/>
        </w:rPr>
        <w:t xml:space="preserve">One endpoint, twenty deliberate steps</w:t>
      </w:r>
    </w:p>
    <w:p>
      <w:pPr>
        <w:spacing w:after="110" w:line="250"/>
      </w:pPr>
      <w:r>
        <w:rPr>
          <w:rFonts w:ascii="Courier New" w:cs="Courier New" w:eastAsia="Courier New" w:hAnsi="Courier New"/>
          <w:b/>
          <w:bCs/>
          <w:color w:val="E99132"/>
          <w:sz w:val="20"/>
          <w:szCs w:val="20"/>
        </w:rPr>
        <w:t xml:space="preserve">POST /search</w:t>
      </w:r>
      <w:r>
        <w:rPr>
          <w:rFonts w:ascii="Arial" w:cs="Arial" w:eastAsia="Arial" w:hAnsi="Arial"/>
          <w:color w:val="243442"/>
          <w:sz w:val="19"/>
          <w:szCs w:val="19"/>
        </w:rPr>
        <w:t xml:space="preserve"> is the stable spine used by the search UI, benchmark scripts and recruiting agent. A request may exit early for a name lookup or filter-only query; a full candidate search compiles the input into a safe specification, retrieves a broad evidence pool and spends more computation only on the strongest candidates.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102"/>
        <w:gridCol w:w="2102"/>
        <w:gridCol w:w="2102"/>
        <w:gridCol w:w="2102"/>
        <w:gridCol w:w="2104"/>
      </w:tblGrid>
      <w:tr>
        <w:tc>
          <w:tcPr>
            <w:tcW w:type="dxa" w:w="2102"/>
            <w:tcBorders>
              <w:top w:val="single" w:color="C8D4DC" w:sz="5"/>
              <w:left w:val="single" w:color="C8D4DC" w:sz="5"/>
              <w:bottom w:val="single" w:color="C8D4DC" w:sz="5"/>
              <w:right w:val="single" w:color="C8D4DC" w:sz="5"/>
            </w:tcBorders>
            <w:shd w:fill="EDF3F7" w:val="clear"/>
            <w:tcMar>
              <w:top w:type="dxa" w:w="100"/>
              <w:left w:type="dxa" w:w="115"/>
              <w:bottom w:type="dxa" w:w="100"/>
              <w:right w:type="dxa" w:w="95"/>
            </w:tcMar>
            <w:vAlign w:val="top"/>
          </w:tcPr>
          <w:p>
            <w:pPr>
              <w:spacing w:after="45"/>
            </w:pPr>
            <w:r>
              <w:rPr>
                <w:rFonts w:ascii="Arial" w:cs="Arial" w:eastAsia="Arial" w:hAnsi="Arial"/>
                <w:b/>
                <w:bCs/>
                <w:color w:val="3E83A8"/>
                <w:sz w:val="15"/>
                <w:szCs w:val="15"/>
              </w:rPr>
              <w:t xml:space="preserve">01-04</w:t>
            </w:r>
          </w:p>
          <w:p>
            <w:pPr>
              <w:keepNext/>
              <w:spacing w:after="60"/>
            </w:pPr>
            <w:r>
              <w:rPr>
                <w:rFonts w:ascii="Arial" w:cs="Arial" w:eastAsia="Arial" w:hAnsi="Arial"/>
                <w:b/>
                <w:bCs/>
                <w:color w:val="17324D"/>
                <w:sz w:val="18"/>
                <w:szCs w:val="18"/>
              </w:rPr>
              <w:t xml:space="preserve">Understand</w:t>
            </w:r>
          </w:p>
          <w:p>
            <w:pPr>
              <w:pStyle w:val="ListParagraph"/>
              <w:numPr>
                <w:ilvl w:val="0"/>
                <w:numId w:val="2"/>
              </w:numPr>
              <w:spacing w:after="34" w:line="200"/>
            </w:pPr>
            <w:r>
              <w:rPr>
                <w:rFonts w:ascii="Arial" w:cs="Arial" w:eastAsia="Arial" w:hAnsi="Arial"/>
                <w:color w:val="243442"/>
                <w:sz w:val="15"/>
                <w:szCs w:val="15"/>
              </w:rPr>
              <w:t xml:space="preserve">route detection</w:t>
            </w:r>
          </w:p>
          <w:p>
            <w:pPr>
              <w:pStyle w:val="ListParagraph"/>
              <w:numPr>
                <w:ilvl w:val="0"/>
                <w:numId w:val="2"/>
              </w:numPr>
              <w:spacing w:after="34" w:line="200"/>
            </w:pPr>
            <w:r>
              <w:rPr>
                <w:rFonts w:ascii="Arial" w:cs="Arial" w:eastAsia="Arial" w:hAnsi="Arial"/>
                <w:color w:val="243442"/>
                <w:sz w:val="15"/>
                <w:szCs w:val="15"/>
              </w:rPr>
              <w:t xml:space="preserve">sanitize input</w:t>
            </w:r>
          </w:p>
          <w:p>
            <w:pPr>
              <w:pStyle w:val="ListParagraph"/>
              <w:numPr>
                <w:ilvl w:val="0"/>
                <w:numId w:val="2"/>
              </w:numPr>
              <w:spacing w:after="34" w:line="200"/>
            </w:pPr>
            <w:r>
              <w:rPr>
                <w:rFonts w:ascii="Arial" w:cs="Arial" w:eastAsia="Arial" w:hAnsi="Arial"/>
                <w:color w:val="243442"/>
                <w:sz w:val="15"/>
                <w:szCs w:val="15"/>
              </w:rPr>
              <w:t xml:space="preserve">cache lookup</w:t>
            </w:r>
          </w:p>
          <w:p>
            <w:pPr>
              <w:pStyle w:val="ListParagraph"/>
              <w:numPr>
                <w:ilvl w:val="0"/>
                <w:numId w:val="2"/>
              </w:numPr>
              <w:spacing w:after="34" w:line="200"/>
            </w:pPr>
            <w:r>
              <w:rPr>
                <w:rFonts w:ascii="Arial" w:cs="Arial" w:eastAsia="Arial" w:hAnsi="Arial"/>
                <w:color w:val="243442"/>
                <w:sz w:val="15"/>
                <w:szCs w:val="15"/>
              </w:rPr>
              <w:t xml:space="preserve">LLM or fallback plan</w:t>
            </w:r>
          </w:p>
        </w:tc>
        <w:tc>
          <w:tcPr>
            <w:tcW w:type="dxa" w:w="2102"/>
            <w:tcBorders>
              <w:top w:val="single" w:color="C8D4DC" w:sz="5"/>
              <w:left w:val="single" w:color="C8D4DC" w:sz="5"/>
              <w:bottom w:val="single" w:color="C8D4DC" w:sz="5"/>
              <w:right w:val="single" w:color="C8D4DC" w:sz="5"/>
            </w:tcBorders>
            <w:shd w:fill="E9F4F2" w:val="clear"/>
            <w:tcMar>
              <w:top w:type="dxa" w:w="100"/>
              <w:left w:type="dxa" w:w="115"/>
              <w:bottom w:type="dxa" w:w="100"/>
              <w:right w:type="dxa" w:w="95"/>
            </w:tcMar>
            <w:vAlign w:val="top"/>
          </w:tcPr>
          <w:p>
            <w:pPr>
              <w:spacing w:after="45"/>
            </w:pPr>
            <w:r>
              <w:rPr>
                <w:rFonts w:ascii="Arial" w:cs="Arial" w:eastAsia="Arial" w:hAnsi="Arial"/>
                <w:b/>
                <w:bCs/>
                <w:color w:val="008C83"/>
                <w:sz w:val="15"/>
                <w:szCs w:val="15"/>
              </w:rPr>
              <w:t xml:space="preserve">05-08</w:t>
            </w:r>
          </w:p>
          <w:p>
            <w:pPr>
              <w:keepNext/>
              <w:spacing w:after="60"/>
            </w:pPr>
            <w:r>
              <w:rPr>
                <w:rFonts w:ascii="Arial" w:cs="Arial" w:eastAsia="Arial" w:hAnsi="Arial"/>
                <w:b/>
                <w:bCs/>
                <w:color w:val="17324D"/>
                <w:sz w:val="18"/>
                <w:szCs w:val="18"/>
              </w:rPr>
              <w:t xml:space="preserve">Constrain</w:t>
            </w:r>
          </w:p>
          <w:p>
            <w:pPr>
              <w:pStyle w:val="ListParagraph"/>
              <w:numPr>
                <w:ilvl w:val="0"/>
                <w:numId w:val="2"/>
              </w:numPr>
              <w:spacing w:after="34" w:line="200"/>
            </w:pPr>
            <w:r>
              <w:rPr>
                <w:rFonts w:ascii="Arial" w:cs="Arial" w:eastAsia="Arial" w:hAnsi="Arial"/>
                <w:color w:val="243442"/>
                <w:sz w:val="15"/>
                <w:szCs w:val="15"/>
              </w:rPr>
              <w:t xml:space="preserve">validate fields</w:t>
            </w:r>
          </w:p>
          <w:p>
            <w:pPr>
              <w:pStyle w:val="ListParagraph"/>
              <w:numPr>
                <w:ilvl w:val="0"/>
                <w:numId w:val="2"/>
              </w:numPr>
              <w:spacing w:after="34" w:line="200"/>
            </w:pPr>
            <w:r>
              <w:rPr>
                <w:rFonts w:ascii="Arial" w:cs="Arial" w:eastAsia="Arial" w:hAnsi="Arial"/>
                <w:color w:val="243442"/>
                <w:sz w:val="15"/>
                <w:szCs w:val="15"/>
              </w:rPr>
              <w:t xml:space="preserve">normalize aliases</w:t>
            </w:r>
          </w:p>
          <w:p>
            <w:pPr>
              <w:pStyle w:val="ListParagraph"/>
              <w:numPr>
                <w:ilvl w:val="0"/>
                <w:numId w:val="2"/>
              </w:numPr>
              <w:spacing w:after="34" w:line="200"/>
            </w:pPr>
            <w:r>
              <w:rPr>
                <w:rFonts w:ascii="Arial" w:cs="Arial" w:eastAsia="Arial" w:hAnsi="Arial"/>
                <w:color w:val="243442"/>
                <w:sz w:val="15"/>
                <w:szCs w:val="15"/>
              </w:rPr>
              <w:t xml:space="preserve">confidence gate</w:t>
            </w:r>
          </w:p>
          <w:p>
            <w:pPr>
              <w:pStyle w:val="ListParagraph"/>
              <w:numPr>
                <w:ilvl w:val="0"/>
                <w:numId w:val="2"/>
              </w:numPr>
              <w:spacing w:after="34" w:line="200"/>
            </w:pPr>
            <w:r>
              <w:rPr>
                <w:rFonts w:ascii="Arial" w:cs="Arial" w:eastAsia="Arial" w:hAnsi="Arial"/>
                <w:color w:val="243442"/>
                <w:sz w:val="15"/>
                <w:szCs w:val="15"/>
              </w:rPr>
              <w:t xml:space="preserve">intent routing</w:t>
            </w:r>
          </w:p>
        </w:tc>
        <w:tc>
          <w:tcPr>
            <w:tcW w:type="dxa" w:w="2102"/>
            <w:tcBorders>
              <w:top w:val="single" w:color="C8D4DC" w:sz="5"/>
              <w:left w:val="single" w:color="C8D4DC" w:sz="5"/>
              <w:bottom w:val="single" w:color="C8D4DC" w:sz="5"/>
              <w:right w:val="single" w:color="C8D4DC" w:sz="5"/>
            </w:tcBorders>
            <w:shd w:fill="FFF2E3"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09-12</w:t>
            </w:r>
          </w:p>
          <w:p>
            <w:pPr>
              <w:keepNext/>
              <w:spacing w:after="60"/>
            </w:pPr>
            <w:r>
              <w:rPr>
                <w:rFonts w:ascii="Arial" w:cs="Arial" w:eastAsia="Arial" w:hAnsi="Arial"/>
                <w:b/>
                <w:bCs/>
                <w:color w:val="17324D"/>
                <w:sz w:val="18"/>
                <w:szCs w:val="18"/>
              </w:rPr>
              <w:t xml:space="preserve">Retrieve</w:t>
            </w:r>
          </w:p>
          <w:p>
            <w:pPr>
              <w:pStyle w:val="ListParagraph"/>
              <w:numPr>
                <w:ilvl w:val="0"/>
                <w:numId w:val="2"/>
              </w:numPr>
              <w:spacing w:after="34" w:line="200"/>
            </w:pPr>
            <w:r>
              <w:rPr>
                <w:rFonts w:ascii="Arial" w:cs="Arial" w:eastAsia="Arial" w:hAnsi="Arial"/>
                <w:color w:val="243442"/>
                <w:sz w:val="15"/>
                <w:szCs w:val="15"/>
              </w:rPr>
              <w:t xml:space="preserve">SQL eligible pool</w:t>
            </w:r>
          </w:p>
          <w:p>
            <w:pPr>
              <w:pStyle w:val="ListParagraph"/>
              <w:numPr>
                <w:ilvl w:val="0"/>
                <w:numId w:val="2"/>
              </w:numPr>
              <w:spacing w:after="34" w:line="200"/>
            </w:pPr>
            <w:r>
              <w:rPr>
                <w:rFonts w:ascii="Arial" w:cs="Arial" w:eastAsia="Arial" w:hAnsi="Arial"/>
                <w:color w:val="243442"/>
                <w:sz w:val="15"/>
                <w:szCs w:val="15"/>
              </w:rPr>
              <w:t xml:space="preserve">dense HNSW</w:t>
            </w:r>
          </w:p>
          <w:p>
            <w:pPr>
              <w:pStyle w:val="ListParagraph"/>
              <w:numPr>
                <w:ilvl w:val="0"/>
                <w:numId w:val="2"/>
              </w:numPr>
              <w:spacing w:after="34" w:line="200"/>
            </w:pPr>
            <w:r>
              <w:rPr>
                <w:rFonts w:ascii="Arial" w:cs="Arial" w:eastAsia="Arial" w:hAnsi="Arial"/>
                <w:color w:val="243442"/>
                <w:sz w:val="15"/>
                <w:szCs w:val="15"/>
              </w:rPr>
              <w:t xml:space="preserve">keyword / BM25</w:t>
            </w:r>
          </w:p>
          <w:p>
            <w:pPr>
              <w:pStyle w:val="ListParagraph"/>
              <w:numPr>
                <w:ilvl w:val="0"/>
                <w:numId w:val="2"/>
              </w:numPr>
              <w:spacing w:after="34" w:line="200"/>
            </w:pPr>
            <w:r>
              <w:rPr>
                <w:rFonts w:ascii="Arial" w:cs="Arial" w:eastAsia="Arial" w:hAnsi="Arial"/>
                <w:color w:val="243442"/>
                <w:sz w:val="15"/>
                <w:szCs w:val="15"/>
              </w:rPr>
              <w:t xml:space="preserve">exact-skill path</w:t>
            </w:r>
          </w:p>
        </w:tc>
        <w:tc>
          <w:tcPr>
            <w:tcW w:type="dxa" w:w="2102"/>
            <w:tcBorders>
              <w:top w:val="single" w:color="C8D4DC" w:sz="5"/>
              <w:left w:val="single" w:color="C8D4DC" w:sz="5"/>
              <w:bottom w:val="single" w:color="C8D4DC" w:sz="5"/>
              <w:right w:val="single" w:color="C8D4DC" w:sz="5"/>
            </w:tcBorders>
            <w:shd w:fill="F4F6F7" w:val="clear"/>
            <w:tcMar>
              <w:top w:type="dxa" w:w="100"/>
              <w:left w:type="dxa" w:w="115"/>
              <w:bottom w:type="dxa" w:w="100"/>
              <w:right w:type="dxa" w:w="95"/>
            </w:tcMar>
            <w:vAlign w:val="top"/>
          </w:tcPr>
          <w:p>
            <w:pPr>
              <w:spacing w:after="45"/>
            </w:pPr>
            <w:r>
              <w:rPr>
                <w:rFonts w:ascii="Arial" w:cs="Arial" w:eastAsia="Arial" w:hAnsi="Arial"/>
                <w:b/>
                <w:bCs/>
                <w:color w:val="17324D"/>
                <w:sz w:val="15"/>
                <w:szCs w:val="15"/>
              </w:rPr>
              <w:t xml:space="preserve">13-16</w:t>
            </w:r>
          </w:p>
          <w:p>
            <w:pPr>
              <w:keepNext/>
              <w:spacing w:after="60"/>
            </w:pPr>
            <w:r>
              <w:rPr>
                <w:rFonts w:ascii="Arial" w:cs="Arial" w:eastAsia="Arial" w:hAnsi="Arial"/>
                <w:b/>
                <w:bCs/>
                <w:color w:val="17324D"/>
                <w:sz w:val="18"/>
                <w:szCs w:val="18"/>
              </w:rPr>
              <w:t xml:space="preserve">Rank</w:t>
            </w:r>
          </w:p>
          <w:p>
            <w:pPr>
              <w:pStyle w:val="ListParagraph"/>
              <w:numPr>
                <w:ilvl w:val="0"/>
                <w:numId w:val="2"/>
              </w:numPr>
              <w:spacing w:after="34" w:line="200"/>
            </w:pPr>
            <w:r>
              <w:rPr>
                <w:rFonts w:ascii="Arial" w:cs="Arial" w:eastAsia="Arial" w:hAnsi="Arial"/>
                <w:color w:val="243442"/>
                <w:sz w:val="15"/>
                <w:szCs w:val="15"/>
              </w:rPr>
              <w:t xml:space="preserve">RRF fusion</w:t>
            </w:r>
          </w:p>
          <w:p>
            <w:pPr>
              <w:pStyle w:val="ListParagraph"/>
              <w:numPr>
                <w:ilvl w:val="0"/>
                <w:numId w:val="2"/>
              </w:numPr>
              <w:spacing w:after="34" w:line="200"/>
            </w:pPr>
            <w:r>
              <w:rPr>
                <w:rFonts w:ascii="Arial" w:cs="Arial" w:eastAsia="Arial" w:hAnsi="Arial"/>
                <w:color w:val="243442"/>
                <w:sz w:val="15"/>
                <w:szCs w:val="15"/>
              </w:rPr>
              <w:t xml:space="preserve">candidate grouping</w:t>
            </w:r>
          </w:p>
          <w:p>
            <w:pPr>
              <w:pStyle w:val="ListParagraph"/>
              <w:numPr>
                <w:ilvl w:val="0"/>
                <w:numId w:val="2"/>
              </w:numPr>
              <w:spacing w:after="34" w:line="200"/>
            </w:pPr>
            <w:r>
              <w:rPr>
                <w:rFonts w:ascii="Arial" w:cs="Arial" w:eastAsia="Arial" w:hAnsi="Arial"/>
                <w:color w:val="243442"/>
                <w:sz w:val="15"/>
                <w:szCs w:val="15"/>
              </w:rPr>
              <w:t xml:space="preserve">bounded relaxation</w:t>
            </w:r>
          </w:p>
          <w:p>
            <w:pPr>
              <w:pStyle w:val="ListParagraph"/>
              <w:numPr>
                <w:ilvl w:val="0"/>
                <w:numId w:val="2"/>
              </w:numPr>
              <w:spacing w:after="34" w:line="200"/>
            </w:pPr>
            <w:r>
              <w:rPr>
                <w:rFonts w:ascii="Arial" w:cs="Arial" w:eastAsia="Arial" w:hAnsi="Arial"/>
                <w:color w:val="243442"/>
                <w:sz w:val="15"/>
                <w:szCs w:val="15"/>
              </w:rPr>
              <w:t xml:space="preserve">cross-encoder</w:t>
            </w:r>
          </w:p>
        </w:tc>
        <w:tc>
          <w:tcPr>
            <w:tcW w:type="dxa" w:w="2104"/>
            <w:tcBorders>
              <w:top w:val="single" w:color="C8D4DC" w:sz="5"/>
              <w:left w:val="single" w:color="C8D4DC" w:sz="5"/>
              <w:bottom w:val="single" w:color="C8D4DC" w:sz="5"/>
              <w:right w:val="single" w:color="C8D4DC" w:sz="5"/>
            </w:tcBorders>
            <w:shd w:fill="F7F4EE"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17-20</w:t>
            </w:r>
          </w:p>
          <w:p>
            <w:pPr>
              <w:keepNext/>
              <w:spacing w:after="60"/>
            </w:pPr>
            <w:r>
              <w:rPr>
                <w:rFonts w:ascii="Arial" w:cs="Arial" w:eastAsia="Arial" w:hAnsi="Arial"/>
                <w:b/>
                <w:bCs/>
                <w:color w:val="17324D"/>
                <w:sz w:val="18"/>
                <w:szCs w:val="18"/>
              </w:rPr>
              <w:t xml:space="preserve">Explain</w:t>
            </w:r>
          </w:p>
          <w:p>
            <w:pPr>
              <w:pStyle w:val="ListParagraph"/>
              <w:numPr>
                <w:ilvl w:val="0"/>
                <w:numId w:val="2"/>
              </w:numPr>
              <w:spacing w:after="34" w:line="200"/>
            </w:pPr>
            <w:r>
              <w:rPr>
                <w:rFonts w:ascii="Arial" w:cs="Arial" w:eastAsia="Arial" w:hAnsi="Arial"/>
                <w:color w:val="243442"/>
                <w:sz w:val="15"/>
                <w:szCs w:val="15"/>
              </w:rPr>
              <w:t xml:space="preserve">feature score</w:t>
            </w:r>
          </w:p>
          <w:p>
            <w:pPr>
              <w:pStyle w:val="ListParagraph"/>
              <w:numPr>
                <w:ilvl w:val="0"/>
                <w:numId w:val="2"/>
              </w:numPr>
              <w:spacing w:after="34" w:line="200"/>
            </w:pPr>
            <w:r>
              <w:rPr>
                <w:rFonts w:ascii="Arial" w:cs="Arial" w:eastAsia="Arial" w:hAnsi="Arial"/>
                <w:color w:val="243442"/>
                <w:sz w:val="15"/>
                <w:szCs w:val="15"/>
              </w:rPr>
              <w:t xml:space="preserve">MMR diversity</w:t>
            </w:r>
          </w:p>
          <w:p>
            <w:pPr>
              <w:pStyle w:val="ListParagraph"/>
              <w:numPr>
                <w:ilvl w:val="0"/>
                <w:numId w:val="2"/>
              </w:numPr>
              <w:spacing w:after="34" w:line="200"/>
            </w:pPr>
            <w:r>
              <w:rPr>
                <w:rFonts w:ascii="Arial" w:cs="Arial" w:eastAsia="Arial" w:hAnsi="Arial"/>
                <w:color w:val="243442"/>
                <w:sz w:val="15"/>
                <w:szCs w:val="15"/>
              </w:rPr>
              <w:t xml:space="preserve">evidence explanation</w:t>
            </w:r>
          </w:p>
          <w:p>
            <w:pPr>
              <w:pStyle w:val="ListParagraph"/>
              <w:numPr>
                <w:ilvl w:val="0"/>
                <w:numId w:val="2"/>
              </w:numPr>
              <w:spacing w:after="34" w:line="200"/>
            </w:pPr>
            <w:r>
              <w:rPr>
                <w:rFonts w:ascii="Arial" w:cs="Arial" w:eastAsia="Arial" w:hAnsi="Arial"/>
                <w:color w:val="243442"/>
                <w:sz w:val="15"/>
                <w:szCs w:val="15"/>
              </w:rPr>
              <w:t xml:space="preserve">trace + impressions</w:t>
            </w:r>
          </w:p>
        </w:tc>
      </w:tr>
    </w:tbl>
    <w:p>
      <w:pPr>
        <w:pStyle w:val="Heading2"/>
        <w:keepNext/>
        <w:spacing w:after="75" w:before="130"/>
      </w:pPr>
      <w:r>
        <w:rPr>
          <w:rFonts w:ascii="Georgia" w:cs="Georgia" w:eastAsia="Georgia" w:hAnsi="Georgia"/>
          <w:b/>
          <w:bCs/>
          <w:color w:val="17324D"/>
          <w:sz w:val="28"/>
          <w:szCs w:val="28"/>
        </w:rPr>
        <w:t xml:space="preserve">Three retrieval paths protect different failures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DENSE</w:t>
            </w:r>
          </w:p>
          <w:p>
            <w:pPr>
              <w:keepNext/>
              <w:spacing w:after="60"/>
            </w:pPr>
            <w:r>
              <w:rPr>
                <w:rFonts w:ascii="Georgia" w:cs="Georgia" w:eastAsia="Georgia" w:hAnsi="Georgia"/>
                <w:b/>
                <w:bCs/>
                <w:color w:val="17324D"/>
                <w:sz w:val="22"/>
                <w:szCs w:val="22"/>
              </w:rPr>
              <w:t xml:space="preserve">Semantic chunks</w:t>
            </w:r>
          </w:p>
          <w:p>
            <w:pPr>
              <w:spacing w:after="0" w:line="225"/>
            </w:pPr>
            <w:r>
              <w:rPr>
                <w:rFonts w:ascii="Arial" w:cs="Arial" w:eastAsia="Arial" w:hAnsi="Arial"/>
                <w:color w:val="243442"/>
                <w:sz w:val="17"/>
                <w:szCs w:val="17"/>
              </w:rPr>
              <w:t xml:space="preserve">Cosine similarity over pgvector HNSW catches paraphrases and related work.</w:t>
            </w:r>
          </w:p>
        </w:tc>
        <w:tc>
          <w:tcPr>
            <w:tcW w:type="dxa" w:w="3504"/>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LEXICAL</w:t>
            </w:r>
          </w:p>
          <w:p>
            <w:pPr>
              <w:keepNext/>
              <w:spacing w:after="60"/>
            </w:pPr>
            <w:r>
              <w:rPr>
                <w:rFonts w:ascii="Georgia" w:cs="Georgia" w:eastAsia="Georgia" w:hAnsi="Georgia"/>
                <w:b/>
                <w:bCs/>
                <w:color w:val="17324D"/>
                <w:sz w:val="22"/>
                <w:szCs w:val="22"/>
              </w:rPr>
              <w:t xml:space="preserve">Exact text</w:t>
            </w:r>
          </w:p>
          <w:p>
            <w:pPr>
              <w:spacing w:after="0" w:line="225"/>
            </w:pPr>
            <w:r>
              <w:rPr>
                <w:rFonts w:ascii="Arial" w:cs="Arial" w:eastAsia="Arial" w:hAnsi="Arial"/>
                <w:color w:val="243442"/>
                <w:sz w:val="17"/>
                <w:szCs w:val="17"/>
              </w:rPr>
              <w:t xml:space="preserve">PostgreSQL full-text search or optional BM25 protects uncommon tools and phrases.</w:t>
            </w:r>
          </w:p>
        </w:tc>
        <w:tc>
          <w:tcPr>
            <w:tcW w:type="dxa" w:w="3504"/>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SKILL</w:t>
            </w:r>
          </w:p>
          <w:p>
            <w:pPr>
              <w:keepNext/>
              <w:spacing w:after="60"/>
            </w:pPr>
            <w:r>
              <w:rPr>
                <w:rFonts w:ascii="Georgia" w:cs="Georgia" w:eastAsia="Georgia" w:hAnsi="Georgia"/>
                <w:b/>
                <w:bCs/>
                <w:color w:val="17324D"/>
                <w:sz w:val="22"/>
                <w:szCs w:val="22"/>
              </w:rPr>
              <w:t xml:space="preserve">Canonical facts</w:t>
            </w:r>
          </w:p>
          <w:p>
            <w:pPr>
              <w:spacing w:after="0" w:line="225"/>
            </w:pPr>
            <w:r>
              <w:rPr>
                <w:rFonts w:ascii="Arial" w:cs="Arial" w:eastAsia="Arial" w:hAnsi="Arial"/>
                <w:color w:val="243442"/>
                <w:sz w:val="17"/>
                <w:szCs w:val="17"/>
              </w:rPr>
              <w:t xml:space="preserve">Normalized candidate skills are scored directly rather than inferred from prose.</w:t>
            </w:r>
          </w:p>
        </w:tc>
      </w:tr>
    </w:tbl>
    <w:p>
      <w:pPr>
        <w:pStyle w:val="Heading2"/>
        <w:keepNext/>
        <w:spacing w:after="75" w:before="130"/>
      </w:pPr>
      <w:r>
        <w:rPr>
          <w:rFonts w:ascii="Georgia" w:cs="Georgia" w:eastAsia="Georgia" w:hAnsi="Georgia"/>
          <w:b/>
          <w:bCs/>
          <w:color w:val="17324D"/>
          <w:sz w:val="28"/>
          <w:szCs w:val="28"/>
        </w:rPr>
        <w:t xml:space="preserve">Fusion before judgment</w:t>
      </w:r>
    </w:p>
    <w:p>
      <w:pPr>
        <w:spacing w:after="80"/>
        <w:jc w:val="center"/>
      </w:pPr>
      <w:r>
        <w:rPr>
          <w:rFonts w:ascii="Courier New" w:cs="Courier New" w:eastAsia="Courier New" w:hAnsi="Courier New"/>
          <w:b/>
          <w:bCs/>
          <w:color w:val="17324D"/>
          <w:sz w:val="23"/>
          <w:szCs w:val="23"/>
        </w:rPr>
        <w:t xml:space="preserve">RRF(d) = sum over r  [ w_r / (60 + rank_r(d)) ]</w:t>
      </w:r>
    </w:p>
    <w:p>
      <w:pPr>
        <w:spacing w:after="110" w:line="250"/>
      </w:pPr>
      <w:r>
        <w:rPr>
          <w:rFonts w:ascii="Arial" w:cs="Arial" w:eastAsia="Arial" w:hAnsi="Arial"/>
        </w:rPr>
        <w:t xml:space="preserve">Reciprocal Rank Fusion compares positions instead of adding incompatible cosine, text and binary scores. A candidate supported by several branches accumulates evidence. Chunks are then collapsed to one person, retaining the best passage plus supporting passages from other documents. [5]</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E99132" w:sz="22"/>
              <w:bottom w:val="none" w:color="FFFFFF" w:sz="0"/>
              <w:right w:val="none" w:color="FFFFFF" w:sz="0"/>
            </w:tcBorders>
            <w:shd w:fill="FFF2E3" w:val="clear"/>
            <w:tcMar>
              <w:top w:type="dxa" w:w="120"/>
              <w:left w:type="dxa" w:w="150"/>
              <w:bottom w:type="dxa" w:w="120"/>
              <w:right w:type="dxa" w:w="150"/>
            </w:tcMar>
            <w:vAlign w:val="top"/>
          </w:tcPr>
          <w:p>
            <w:pPr>
              <w:spacing w:after="0" w:line="240"/>
            </w:pPr>
            <w:r>
              <w:rPr>
                <w:rFonts w:ascii="Arial" w:cs="Arial" w:eastAsia="Arial" w:hAnsi="Arial"/>
                <w:b/>
                <w:bCs/>
                <w:color w:val="E99132"/>
                <w:sz w:val="19"/>
                <w:szCs w:val="19"/>
              </w:rPr>
              <w:t xml:space="preserve">Failure handling  </w:t>
            </w:r>
            <w:r>
              <w:rPr>
                <w:rFonts w:ascii="Arial" w:cs="Arial" w:eastAsia="Arial" w:hAnsi="Arial"/>
                <w:color w:val="243442"/>
                <w:sz w:val="18"/>
                <w:szCs w:val="18"/>
              </w:rPr>
              <w:t xml:space="preserve">Empty searches receive at most one recorded relaxation. Status is never silently relaxed, and every broadened condition is returned to the UI.</w:t>
            </w:r>
          </w:p>
        </w:tc>
      </w:tr>
    </w:tbl>
    <w:p>
      <w:r>
        <w:br w:type="page"/>
      </w:r>
    </w:p>
    <w:p>
      <w:pPr>
        <w:keepNext/>
        <w:spacing w:after="70" w:before="40"/>
      </w:pPr>
      <w:r>
        <w:rPr>
          <w:rFonts w:ascii="Arial" w:cs="Arial" w:eastAsia="Arial" w:hAnsi="Arial"/>
          <w:b/>
          <w:bCs/>
          <w:color w:val="008C83"/>
          <w:sz w:val="18"/>
          <w:szCs w:val="18"/>
        </w:rPr>
        <w:t xml:space="preserve">03 | MODELS, RANKING AND EVALUATION</w:t>
      </w:r>
    </w:p>
    <w:p>
      <w:pPr>
        <w:pStyle w:val="Heading1"/>
        <w:keepNext/>
        <w:spacing w:after="150" w:before="30"/>
      </w:pPr>
      <w:r>
        <w:rPr>
          <w:rFonts w:ascii="Georgia" w:cs="Georgia" w:eastAsia="Georgia" w:hAnsi="Georgia"/>
          <w:b/>
          <w:bCs/>
          <w:color w:val="17324D"/>
          <w:sz w:val="42"/>
          <w:szCs w:val="42"/>
        </w:rPr>
        <w:t xml:space="preserve">Small models where their training objective fits</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DF3F7" w:val="clear"/>
            <w:tcMar>
              <w:top w:type="dxa" w:w="120"/>
              <w:left w:type="dxa" w:w="150"/>
              <w:bottom w:type="dxa" w:w="120"/>
              <w:right w:type="dxa" w:w="150"/>
            </w:tcMar>
            <w:vAlign w:val="top"/>
          </w:tcPr>
          <w:p>
            <w:pPr>
              <w:keepNext/>
              <w:spacing w:after="45" w:before="50"/>
            </w:pPr>
            <w:r>
              <w:rPr>
                <w:rFonts w:ascii="Arial" w:cs="Arial" w:eastAsia="Arial" w:hAnsi="Arial"/>
                <w:b/>
                <w:bCs/>
                <w:color w:val="3E83A8"/>
                <w:sz w:val="21"/>
                <w:szCs w:val="21"/>
              </w:rPr>
              <w:t xml:space="preserve">all-MiniLM-L6-v2 for retrieval</w:t>
            </w:r>
          </w:p>
          <w:p>
            <w:pPr>
              <w:spacing w:after="110" w:line="250"/>
            </w:pPr>
            <w:r>
              <w:rPr>
                <w:rFonts w:ascii="Arial" w:cs="Arial" w:eastAsia="Arial" w:hAnsi="Arial"/>
              </w:rPr>
              <w:t xml:space="preserve">The local bi-encoder maps sentences and short paragraphs into 384-dimensional vectors. Its model card reports 22.7M parameters and contrastive training over more than one billion sentence pairs. That objective suits fast semantic recall, and the compact vectors reduce storage and memory compared with 1,536-dimensional defaults. The 256-word-piece truncation limit also reinforced token-aware chunking instead of embedding entire resumes. [3]</w:t>
            </w:r>
          </w:p>
        </w:tc>
        <w:tc>
          <w:tcPr>
            <w:tcW w:type="dxa" w:w="5256"/>
            <w:tcBorders>
              <w:top w:val="single" w:color="C8D4DC" w:sz="5"/>
              <w:left w:val="single" w:color="C8D4DC" w:sz="5"/>
              <w:bottom w:val="single" w:color="C8D4DC" w:sz="5"/>
              <w:right w:val="single" w:color="C8D4DC" w:sz="5"/>
            </w:tcBorders>
            <w:shd w:fill="FFF2E3" w:val="clear"/>
            <w:tcMar>
              <w:top w:type="dxa" w:w="120"/>
              <w:left w:type="dxa" w:w="150"/>
              <w:bottom w:type="dxa" w:w="120"/>
              <w:right w:type="dxa" w:w="150"/>
            </w:tcMar>
            <w:vAlign w:val="top"/>
          </w:tcPr>
          <w:p>
            <w:pPr>
              <w:keepNext/>
              <w:spacing w:after="45" w:before="50"/>
            </w:pPr>
            <w:r>
              <w:rPr>
                <w:rFonts w:ascii="Arial" w:cs="Arial" w:eastAsia="Arial" w:hAnsi="Arial"/>
                <w:b/>
                <w:bCs/>
                <w:color w:val="E99132"/>
                <w:sz w:val="21"/>
                <w:szCs w:val="21"/>
              </w:rPr>
              <w:t xml:space="preserve">MS MARCO MiniLM cross-encoder for reranking</w:t>
            </w:r>
          </w:p>
          <w:p>
            <w:pPr>
              <w:spacing w:after="110" w:line="250"/>
            </w:pPr>
            <w:r>
              <w:rPr>
                <w:rFonts w:ascii="Arial" w:cs="Arial" w:eastAsia="Arial" w:hAnsi="Arial"/>
              </w:rPr>
              <w:t xml:space="preserve">A cross-encoder reads the recruiter request and one retrieved passage together, making it a more careful relevance judge than independent embeddings. The selected L6 model was trained for passage ranking and offers a practical speed-quality point. It is applied only to a top-N prefix because joint encoding is too expensive for the full corpus. [4]</w:t>
            </w:r>
          </w:p>
        </w:tc>
      </w:tr>
    </w:tbl>
    <w:p>
      <w:pPr>
        <w:pStyle w:val="Heading2"/>
        <w:keepNext/>
        <w:spacing w:after="75" w:before="130"/>
      </w:pPr>
      <w:r>
        <w:rPr>
          <w:rFonts w:ascii="Georgia" w:cs="Georgia" w:eastAsia="Georgia" w:hAnsi="Georgia"/>
          <w:b/>
          <w:bCs/>
          <w:color w:val="17324D"/>
          <w:sz w:val="28"/>
          <w:szCs w:val="28"/>
        </w:rPr>
        <w:t xml:space="preserve">The final score uses candidate evidence, not model confidence alone</w:t>
      </w:r>
    </w:p>
    <w:p>
      <w:pPr>
        <w:spacing w:after="110" w:line="250"/>
      </w:pPr>
      <w:r>
        <w:rPr>
          <w:rFonts w:ascii="Arial" w:cs="Arial" w:eastAsia="Arial" w:hAnsi="Arial"/>
        </w:rPr>
        <w:t xml:space="preserve">With the cross-encoder enabled, the feature score weights cross-encoder relevance at 45%, fused retrieval at 20%, exact skills at 12%, soft preferences at 10%, experience fit at 5%, skill recency at 3%, completeness at 2% and confirmed personalization at 3%. Without a cross-encoder, the missing weight moves mainly to retrieval, exact skills and experience. Scores are normalized to 0-100, then MMR selects the final list with lambda = 0.70: 70% relevance and 30% duplicate penalty.</w:t>
      </w:r>
    </w:p>
    <w:tbl>
      <w:tblPr>
        <w:tblW w:type="dxa" w:w="10512"/>
        <w:jc w:val="center"/>
        <w:tblBorders>
          <w:top w:val="single" w:color="C8D4DC" w:sz="5"/>
          <w:left w:val="single" w:color="C8D4DC" w:sz="5"/>
          <w:bottom w:val="single" w:color="C8D4DC" w:sz="5"/>
          <w:right w:val="single" w:color="C8D4DC" w:sz="5"/>
          <w:insideH w:val="single" w:color="C8D4DC" w:sz="5"/>
          <w:insideV w:val="single" w:color="C8D4DC" w:sz="5"/>
        </w:tblBorders>
      </w:tblPr>
      <w:tblGrid>
        <w:gridCol w:w="3300"/>
        <w:gridCol w:w="1700"/>
        <w:gridCol w:w="1800"/>
        <w:gridCol w:w="1800"/>
        <w:gridCol w:w="1912"/>
      </w:tblGrid>
      <w:tr>
        <w:tc>
          <w:tcPr>
            <w:tcW w:type="dxa" w:w="33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pPr>
            <w:r>
              <w:rPr>
                <w:rFonts w:ascii="Arial" w:cs="Arial" w:eastAsia="Arial" w:hAnsi="Arial"/>
                <w:b/>
                <w:bCs/>
                <w:color w:val="FFFFFF"/>
                <w:sz w:val="18"/>
                <w:szCs w:val="18"/>
              </w:rPr>
              <w:t xml:space="preserve">Recorded strategy benchmark</w:t>
            </w:r>
          </w:p>
        </w:tc>
        <w:tc>
          <w:tcPr>
            <w:tcW w:type="dxa" w:w="17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jc w:val="center"/>
            </w:pPr>
            <w:r>
              <w:rPr>
                <w:rFonts w:ascii="Arial" w:cs="Arial" w:eastAsia="Arial" w:hAnsi="Arial"/>
                <w:b/>
                <w:bCs/>
                <w:color w:val="FFFFFF"/>
                <w:sz w:val="18"/>
                <w:szCs w:val="18"/>
              </w:rPr>
              <w:t xml:space="preserve">Top-1</w:t>
            </w:r>
          </w:p>
        </w:tc>
        <w:tc>
          <w:tcPr>
            <w:tcW w:type="dxa" w:w="18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jc w:val="center"/>
            </w:pPr>
            <w:r>
              <w:rPr>
                <w:rFonts w:ascii="Arial" w:cs="Arial" w:eastAsia="Arial" w:hAnsi="Arial"/>
                <w:b/>
                <w:bCs/>
                <w:color w:val="FFFFFF"/>
                <w:sz w:val="18"/>
                <w:szCs w:val="18"/>
              </w:rPr>
              <w:t xml:space="preserve">P50</w:t>
            </w:r>
          </w:p>
        </w:tc>
        <w:tc>
          <w:tcPr>
            <w:tcW w:type="dxa" w:w="1800"/>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jc w:val="center"/>
            </w:pPr>
            <w:r>
              <w:rPr>
                <w:rFonts w:ascii="Arial" w:cs="Arial" w:eastAsia="Arial" w:hAnsi="Arial"/>
                <w:b/>
                <w:bCs/>
                <w:color w:val="FFFFFF"/>
                <w:sz w:val="18"/>
                <w:szCs w:val="18"/>
              </w:rPr>
              <w:t xml:space="preserve">P95</w:t>
            </w:r>
          </w:p>
        </w:tc>
        <w:tc>
          <w:tcPr>
            <w:tcW w:type="dxa" w:w="1912"/>
            <w:tcBorders>
              <w:top w:val="single" w:color="C8D4DC" w:sz="5"/>
              <w:left w:val="single" w:color="C8D4DC" w:sz="5"/>
              <w:bottom w:val="single" w:color="C8D4DC" w:sz="5"/>
              <w:right w:val="single" w:color="C8D4DC" w:sz="5"/>
            </w:tcBorders>
            <w:shd w:fill="17324D" w:val="clear"/>
            <w:tcMar>
              <w:top w:type="dxa" w:w="120"/>
              <w:left w:type="dxa" w:w="150"/>
              <w:bottom w:type="dxa" w:w="120"/>
              <w:right w:type="dxa" w:w="150"/>
            </w:tcMar>
            <w:vAlign w:val="top"/>
          </w:tcPr>
          <w:p>
            <w:pPr>
              <w:spacing w:after="0"/>
            </w:pPr>
            <w:r>
              <w:rPr>
                <w:rFonts w:ascii="Arial" w:cs="Arial" w:eastAsia="Arial" w:hAnsi="Arial"/>
                <w:b/>
                <w:bCs/>
                <w:color w:val="FFFFFF"/>
                <w:sz w:val="18"/>
                <w:szCs w:val="18"/>
              </w:rPr>
              <w:t xml:space="preserve">Interpretation</w:t>
            </w:r>
          </w:p>
        </w:tc>
      </w:tr>
      <w:tr>
        <w:tc>
          <w:tcPr>
            <w:tcW w:type="dxa" w:w="33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bCs/>
                <w:color w:val="243442"/>
                <w:sz w:val="17"/>
                <w:szCs w:val="17"/>
              </w:rPr>
              <w:t xml:space="preserve">Semantic only</w:t>
            </w:r>
          </w:p>
        </w:tc>
        <w:tc>
          <w:tcPr>
            <w:tcW w:type="dxa" w:w="17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35.0%</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53 ms</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172 ms</w:t>
            </w:r>
          </w:p>
        </w:tc>
        <w:tc>
          <w:tcPr>
            <w:tcW w:type="dxa" w:w="1912"/>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val="false"/>
                <w:bCs w:val="false"/>
                <w:color w:val="243442"/>
                <w:sz w:val="17"/>
                <w:szCs w:val="17"/>
              </w:rPr>
              <w:t xml:space="preserve">fast baseline</w:t>
            </w:r>
          </w:p>
        </w:tc>
      </w:tr>
      <w:tr>
        <w:tc>
          <w:tcPr>
            <w:tcW w:type="dxa" w:w="33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left"/>
            </w:pPr>
            <w:r>
              <w:rPr>
                <w:rFonts w:ascii="Arial" w:cs="Arial" w:eastAsia="Arial" w:hAnsi="Arial"/>
                <w:b/>
                <w:bCs/>
                <w:color w:val="243442"/>
                <w:sz w:val="17"/>
                <w:szCs w:val="17"/>
              </w:rPr>
              <w:t xml:space="preserve">RRF hybrid</w:t>
            </w:r>
          </w:p>
        </w:tc>
        <w:tc>
          <w:tcPr>
            <w:tcW w:type="dxa" w:w="17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35.0%</w:t>
            </w:r>
          </w:p>
        </w:tc>
        <w:tc>
          <w:tcPr>
            <w:tcW w:type="dxa" w:w="18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60 ms</w:t>
            </w:r>
          </w:p>
        </w:tc>
        <w:tc>
          <w:tcPr>
            <w:tcW w:type="dxa" w:w="1800"/>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85 ms</w:t>
            </w:r>
          </w:p>
        </w:tc>
        <w:tc>
          <w:tcPr>
            <w:tcW w:type="dxa" w:w="1912"/>
            <w:tcBorders>
              <w:top w:val="single" w:color="C8D4DC" w:sz="5"/>
              <w:left w:val="single" w:color="C8D4DC" w:sz="5"/>
              <w:bottom w:val="single" w:color="C8D4DC" w:sz="5"/>
              <w:right w:val="single" w:color="C8D4DC" w:sz="5"/>
            </w:tcBorders>
            <w:shd w:fill="F8FAFB" w:val="clear"/>
            <w:tcMar>
              <w:top w:type="dxa" w:w="120"/>
              <w:left w:type="dxa" w:w="150"/>
              <w:bottom w:type="dxa" w:w="120"/>
              <w:right w:type="dxa" w:w="150"/>
            </w:tcMar>
            <w:vAlign w:val="top"/>
          </w:tcPr>
          <w:p>
            <w:pPr>
              <w:spacing w:after="0"/>
              <w:jc w:val="left"/>
            </w:pPr>
            <w:r>
              <w:rPr>
                <w:rFonts w:ascii="Arial" w:cs="Arial" w:eastAsia="Arial" w:hAnsi="Arial"/>
                <w:b w:val="false"/>
                <w:bCs w:val="false"/>
                <w:color w:val="243442"/>
                <w:sz w:val="17"/>
                <w:szCs w:val="17"/>
              </w:rPr>
              <w:t xml:space="preserve">stable hybrid</w:t>
            </w:r>
          </w:p>
        </w:tc>
      </w:tr>
      <w:tr>
        <w:tc>
          <w:tcPr>
            <w:tcW w:type="dxa" w:w="33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bCs/>
                <w:color w:val="243442"/>
                <w:sz w:val="17"/>
                <w:szCs w:val="17"/>
              </w:rPr>
              <w:t xml:space="preserve">RRF + rerank</w:t>
            </w:r>
          </w:p>
        </w:tc>
        <w:tc>
          <w:tcPr>
            <w:tcW w:type="dxa" w:w="17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28.75%</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244 ms</w:t>
            </w:r>
          </w:p>
        </w:tc>
        <w:tc>
          <w:tcPr>
            <w:tcW w:type="dxa" w:w="1800"/>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center"/>
            </w:pPr>
            <w:r>
              <w:rPr>
                <w:rFonts w:ascii="Arial" w:cs="Arial" w:eastAsia="Arial" w:hAnsi="Arial"/>
                <w:b w:val="false"/>
                <w:bCs w:val="false"/>
                <w:color w:val="243442"/>
                <w:sz w:val="17"/>
                <w:szCs w:val="17"/>
              </w:rPr>
              <w:t xml:space="preserve">450 ms</w:t>
            </w:r>
          </w:p>
        </w:tc>
        <w:tc>
          <w:tcPr>
            <w:tcW w:type="dxa" w:w="1912"/>
            <w:tcBorders>
              <w:top w:val="single" w:color="C8D4DC" w:sz="5"/>
              <w:left w:val="single" w:color="C8D4DC" w:sz="5"/>
              <w:bottom w:val="single" w:color="C8D4DC" w:sz="5"/>
              <w:right w:val="single" w:color="C8D4DC" w:sz="5"/>
            </w:tcBorders>
            <w:shd w:fill="FFFFFF" w:val="clear"/>
            <w:tcMar>
              <w:top w:type="dxa" w:w="120"/>
              <w:left w:type="dxa" w:w="150"/>
              <w:bottom w:type="dxa" w:w="120"/>
              <w:right w:type="dxa" w:w="150"/>
            </w:tcMar>
            <w:vAlign w:val="top"/>
          </w:tcPr>
          <w:p>
            <w:pPr>
              <w:spacing w:after="0"/>
              <w:jc w:val="left"/>
            </w:pPr>
            <w:r>
              <w:rPr>
                <w:rFonts w:ascii="Arial" w:cs="Arial" w:eastAsia="Arial" w:hAnsi="Arial"/>
                <w:b w:val="false"/>
                <w:bCs w:val="false"/>
                <w:color w:val="243442"/>
                <w:sz w:val="17"/>
                <w:szCs w:val="17"/>
              </w:rPr>
              <w:t xml:space="preserve">optional</w:t>
            </w:r>
          </w:p>
        </w:tc>
      </w:tr>
    </w:tbl>
    <w:p>
      <w:pPr>
        <w:spacing w:after="90" w:before="70" w:line="220"/>
      </w:pPr>
      <w:r>
        <w:rPr>
          <w:rFonts w:ascii="Arial" w:cs="Arial" w:eastAsia="Arial" w:hAnsi="Arial"/>
          <w:b/>
          <w:bCs/>
          <w:color w:val="17324D"/>
          <w:sz w:val="16"/>
          <w:szCs w:val="16"/>
        </w:rPr>
        <w:t xml:space="preserve">Benchmark context. </w:t>
      </w:r>
      <w:r>
        <w:rPr>
          <w:rFonts w:ascii="Arial" w:cs="Arial" w:eastAsia="Arial" w:hAnsi="Arial"/>
          <w:color w:val="596A78"/>
          <w:sz w:val="16"/>
          <w:szCs w:val="16"/>
        </w:rPr>
        <w:t xml:space="preserve">80 queries (30 manually designed and 50 imported), top_k=10, rerank pool=30, recorded 15 May 2026. The planner fell back on all 80 runs, labels were limited and results should be read as project evidence rather than a universal model comparison.</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10512"/>
      </w:tblGrid>
      <w:tr>
        <w:tc>
          <w:tcPr>
            <w:tcW w:type="dxa" w:w="10512"/>
            <w:tcBorders>
              <w:top w:val="none" w:color="FFFFFF" w:sz="0"/>
              <w:left w:val="single" w:color="008C83" w:sz="22"/>
              <w:bottom w:val="none" w:color="FFFFFF" w:sz="0"/>
              <w:right w:val="none" w:color="FFFFFF" w:sz="0"/>
            </w:tcBorders>
            <w:shd w:fill="E9F4F2" w:val="clear"/>
            <w:tcMar>
              <w:top w:type="dxa" w:w="120"/>
              <w:left w:type="dxa" w:w="150"/>
              <w:bottom w:type="dxa" w:w="120"/>
              <w:right w:type="dxa" w:w="150"/>
            </w:tcMar>
            <w:vAlign w:val="top"/>
          </w:tcPr>
          <w:p>
            <w:pPr>
              <w:spacing w:after="0" w:line="240"/>
            </w:pPr>
            <w:r>
              <w:rPr>
                <w:rFonts w:ascii="Arial" w:cs="Arial" w:eastAsia="Arial" w:hAnsi="Arial"/>
                <w:b/>
                <w:bCs/>
                <w:color w:val="008C83"/>
                <w:sz w:val="19"/>
                <w:szCs w:val="19"/>
              </w:rPr>
              <w:t xml:space="preserve">Decision  </w:t>
            </w:r>
            <w:r>
              <w:rPr>
                <w:rFonts w:ascii="Arial" w:cs="Arial" w:eastAsia="Arial" w:hAnsi="Arial"/>
                <w:color w:val="243442"/>
                <w:sz w:val="18"/>
                <w:szCs w:val="18"/>
              </w:rPr>
              <w:t xml:space="preserve">Reranking stayed configurable. A stronger theoretical model was not allowed to override a negative project result without a better labeled evaluation set.</w:t>
            </w:r>
          </w:p>
        </w:tc>
      </w:tr>
    </w:tbl>
    <w:p>
      <w:r>
        <w:br w:type="page"/>
      </w:r>
    </w:p>
    <w:p>
      <w:pPr>
        <w:keepNext/>
        <w:spacing w:after="70" w:before="40"/>
      </w:pPr>
      <w:r>
        <w:rPr>
          <w:rFonts w:ascii="Arial" w:cs="Arial" w:eastAsia="Arial" w:hAnsi="Arial"/>
          <w:b/>
          <w:bCs/>
          <w:color w:val="008C83"/>
          <w:sz w:val="18"/>
          <w:szCs w:val="18"/>
        </w:rPr>
        <w:t xml:space="preserve">04 | AGENT, INTERFACE AND OBSERVABILITY</w:t>
      </w:r>
    </w:p>
    <w:p>
      <w:pPr>
        <w:pStyle w:val="Heading1"/>
        <w:keepNext/>
        <w:spacing w:after="150" w:before="30"/>
      </w:pPr>
      <w:r>
        <w:rPr>
          <w:rFonts w:ascii="Georgia" w:cs="Georgia" w:eastAsia="Georgia" w:hAnsi="Georgia"/>
          <w:b/>
          <w:bCs/>
          <w:color w:val="17324D"/>
          <w:sz w:val="42"/>
          <w:szCs w:val="42"/>
        </w:rPr>
        <w:t xml:space="preserve">The chatbot calls the search engine; it does not replace it</w:t>
      </w:r>
    </w:p>
    <w:p>
      <w:pPr>
        <w:spacing w:after="110" w:line="250"/>
      </w:pPr>
      <w:r>
        <w:rPr>
          <w:rFonts w:ascii="Arial" w:cs="Arial" w:eastAsia="Arial" w:hAnsi="Arial"/>
        </w:rPr>
        <w:t xml:space="preserve">The deterministic endpoint was built first. Pydantic models then made its JSON contract safe to expose as an agent tool: explicit caller fields override inferred values, unsupported fields are dropped, protected characteristics are rejected, and a skill cannot become a hard requirement unless it is grounded in the recruiter's input. PydanticAI supplies typed dependencies, generated tool schemas, message history and streaming model/tool events while allowing the underlying provider to be changed. [6]</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2102"/>
        <w:gridCol w:w="2102"/>
        <w:gridCol w:w="2102"/>
        <w:gridCol w:w="2102"/>
        <w:gridCol w:w="2104"/>
      </w:tblGrid>
      <w:tr>
        <w:tc>
          <w:tcPr>
            <w:tcW w:type="dxa" w:w="2102"/>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1</w:t>
            </w:r>
          </w:p>
          <w:p>
            <w:pPr>
              <w:keepNext/>
              <w:spacing w:after="60"/>
            </w:pPr>
            <w:r>
              <w:rPr>
                <w:rFonts w:ascii="Georgia" w:cs="Georgia" w:eastAsia="Georgia" w:hAnsi="Georgia"/>
                <w:b/>
                <w:bCs/>
                <w:color w:val="17324D"/>
                <w:sz w:val="22"/>
                <w:szCs w:val="22"/>
              </w:rPr>
              <w:t xml:space="preserve">Recruiter message</w:t>
            </w:r>
          </w:p>
          <w:p>
            <w:pPr>
              <w:spacing w:after="0" w:line="225"/>
            </w:pPr>
            <w:r>
              <w:rPr>
                <w:rFonts w:ascii="Arial" w:cs="Arial" w:eastAsia="Arial" w:hAnsi="Arial"/>
                <w:color w:val="243442"/>
                <w:sz w:val="17"/>
                <w:szCs w:val="17"/>
              </w:rPr>
              <w:t xml:space="preserve">Plain-language request, job description or follow-up.</w:t>
            </w:r>
          </w:p>
        </w:tc>
        <w:tc>
          <w:tcPr>
            <w:tcW w:type="dxa" w:w="2102"/>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2</w:t>
            </w:r>
          </w:p>
          <w:p>
            <w:pPr>
              <w:keepNext/>
              <w:spacing w:after="60"/>
            </w:pPr>
            <w:r>
              <w:rPr>
                <w:rFonts w:ascii="Georgia" w:cs="Georgia" w:eastAsia="Georgia" w:hAnsi="Georgia"/>
                <w:b/>
                <w:bCs/>
                <w:color w:val="17324D"/>
                <w:sz w:val="22"/>
                <w:szCs w:val="22"/>
              </w:rPr>
              <w:t xml:space="preserve">Agent reasoning</w:t>
            </w:r>
          </w:p>
          <w:p>
            <w:pPr>
              <w:spacing w:after="0" w:line="225"/>
            </w:pPr>
            <w:r>
              <w:rPr>
                <w:rFonts w:ascii="Arial" w:cs="Arial" w:eastAsia="Arial" w:hAnsi="Arial"/>
                <w:color w:val="243442"/>
                <w:sz w:val="17"/>
                <w:szCs w:val="17"/>
              </w:rPr>
              <w:t xml:space="preserve">Choose a tool and keep arguments compact.</w:t>
            </w:r>
          </w:p>
        </w:tc>
        <w:tc>
          <w:tcPr>
            <w:tcW w:type="dxa" w:w="2102"/>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3</w:t>
            </w:r>
          </w:p>
          <w:p>
            <w:pPr>
              <w:keepNext/>
              <w:spacing w:after="60"/>
            </w:pPr>
            <w:r>
              <w:rPr>
                <w:rFonts w:ascii="Georgia" w:cs="Georgia" w:eastAsia="Georgia" w:hAnsi="Georgia"/>
                <w:b/>
                <w:bCs/>
                <w:color w:val="17324D"/>
                <w:sz w:val="22"/>
                <w:szCs w:val="22"/>
              </w:rPr>
              <w:t xml:space="preserve">Typed tool call</w:t>
            </w:r>
          </w:p>
          <w:p>
            <w:pPr>
              <w:spacing w:after="0" w:line="225"/>
            </w:pPr>
            <w:r>
              <w:rPr>
                <w:rFonts w:ascii="Arial" w:cs="Arial" w:eastAsia="Arial" w:hAnsi="Arial"/>
                <w:color w:val="243442"/>
                <w:sz w:val="17"/>
                <w:szCs w:val="17"/>
              </w:rPr>
              <w:t xml:space="preserve">Validated filters, skills, mode and optional weights.</w:t>
            </w:r>
          </w:p>
        </w:tc>
        <w:tc>
          <w:tcPr>
            <w:tcW w:type="dxa" w:w="2102"/>
            <w:tcBorders>
              <w:top w:val="single" w:color="C8D4DC" w:sz="5"/>
              <w:left w:val="single" w:color="C8D4DC" w:sz="5"/>
              <w:bottom w:val="single" w:color="C8D4DC" w:sz="5"/>
              <w:right w:val="single" w:color="C8D4DC" w:sz="5"/>
            </w:tcBorders>
            <w:shd w:fill="F4F6F7" w:val="clear"/>
            <w:tcMar>
              <w:top w:type="dxa" w:w="130"/>
              <w:left w:type="dxa" w:w="150"/>
              <w:bottom w:type="dxa" w:w="130"/>
              <w:right w:type="dxa" w:w="150"/>
            </w:tcMar>
            <w:vAlign w:val="top"/>
          </w:tcPr>
          <w:p>
            <w:pPr>
              <w:spacing w:after="55"/>
            </w:pPr>
            <w:r>
              <w:rPr>
                <w:rFonts w:ascii="Arial" w:cs="Arial" w:eastAsia="Arial" w:hAnsi="Arial"/>
                <w:b/>
                <w:bCs/>
                <w:color w:val="17324D"/>
                <w:sz w:val="16"/>
                <w:szCs w:val="16"/>
              </w:rPr>
              <w:t xml:space="preserve">4</w:t>
            </w:r>
          </w:p>
          <w:p>
            <w:pPr>
              <w:keepNext/>
              <w:spacing w:after="60"/>
            </w:pPr>
            <w:r>
              <w:rPr>
                <w:rFonts w:ascii="Georgia" w:cs="Georgia" w:eastAsia="Georgia" w:hAnsi="Georgia"/>
                <w:b/>
                <w:bCs/>
                <w:color w:val="17324D"/>
                <w:sz w:val="22"/>
                <w:szCs w:val="22"/>
              </w:rPr>
              <w:t xml:space="preserve">Shared /search</w:t>
            </w:r>
          </w:p>
          <w:p>
            <w:pPr>
              <w:spacing w:after="0" w:line="225"/>
            </w:pPr>
            <w:r>
              <w:rPr>
                <w:rFonts w:ascii="Arial" w:cs="Arial" w:eastAsia="Arial" w:hAnsi="Arial"/>
                <w:color w:val="243442"/>
                <w:sz w:val="17"/>
                <w:szCs w:val="17"/>
              </w:rPr>
              <w:t xml:space="preserve">Run SQL, retrieval, ranking and explanations.</w:t>
            </w:r>
          </w:p>
        </w:tc>
        <w:tc>
          <w:tcPr>
            <w:tcW w:type="dxa" w:w="2104"/>
            <w:tcBorders>
              <w:top w:val="single" w:color="C8D4DC" w:sz="5"/>
              <w:left w:val="single" w:color="C8D4DC" w:sz="5"/>
              <w:bottom w:val="single" w:color="C8D4DC" w:sz="5"/>
              <w:right w:val="single" w:color="C8D4DC" w:sz="5"/>
            </w:tcBorders>
            <w:shd w:fill="F7F4EE"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5</w:t>
            </w:r>
          </w:p>
          <w:p>
            <w:pPr>
              <w:keepNext/>
              <w:spacing w:after="60"/>
            </w:pPr>
            <w:r>
              <w:rPr>
                <w:rFonts w:ascii="Georgia" w:cs="Georgia" w:eastAsia="Georgia" w:hAnsi="Georgia"/>
                <w:b/>
                <w:bCs/>
                <w:color w:val="17324D"/>
                <w:sz w:val="22"/>
                <w:szCs w:val="22"/>
              </w:rPr>
              <w:t xml:space="preserve">Grounded answer</w:t>
            </w:r>
          </w:p>
          <w:p>
            <w:pPr>
              <w:spacing w:after="0" w:line="225"/>
            </w:pPr>
            <w:r>
              <w:rPr>
                <w:rFonts w:ascii="Arial" w:cs="Arial" w:eastAsia="Arial" w:hAnsi="Arial"/>
                <w:color w:val="243442"/>
                <w:sz w:val="17"/>
                <w:szCs w:val="17"/>
              </w:rPr>
              <w:t xml:space="preserve">Stream cards and summarize returned evidence only.</w:t>
            </w:r>
          </w:p>
        </w:tc>
      </w:tr>
    </w:tbl>
    <w:p>
      <w:pPr>
        <w:pStyle w:val="Heading2"/>
        <w:keepNext/>
        <w:spacing w:after="75" w:before="130"/>
      </w:pPr>
      <w:r>
        <w:rPr>
          <w:rFonts w:ascii="Georgia" w:cs="Georgia" w:eastAsia="Georgia" w:hAnsi="Georgia"/>
          <w:b/>
          <w:bCs/>
          <w:color w:val="17324D"/>
          <w:sz w:val="28"/>
          <w:szCs w:val="28"/>
        </w:rPr>
        <w:t xml:space="preserve">Prompting as an operating policy</w:t>
      </w:r>
    </w:p>
    <w:p>
      <w:pPr>
        <w:spacing w:after="110" w:line="250"/>
      </w:pPr>
      <w:r>
        <w:rPr>
          <w:rFonts w:ascii="Arial" w:cs="Arial" w:eastAsia="Arial" w:hAnsi="Arial"/>
        </w:rPr>
        <w:t xml:space="preserve">The planner prompt names the only permitted database fields, separates must / should / must-not intent, defines normalization aliases, supplies few-shot examples and requires JSON-only output. The agent prompt adds workflow rules: search before making candidate claims, use canonical skills, show candidates found through non-search tools, keep tool inputs compact, ask for clarification when intent is weak and keep the final prose concise because the UI already exposes each tool step. Validation is still performed in code after generation.</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DF3F7" w:val="clear"/>
            <w:tcMar>
              <w:top w:type="dxa" w:w="120"/>
              <w:left w:type="dxa" w:w="150"/>
              <w:bottom w:type="dxa" w:w="120"/>
              <w:right w:type="dxa" w:w="150"/>
            </w:tcMar>
            <w:vAlign w:val="top"/>
          </w:tcPr>
          <w:p>
            <w:pPr>
              <w:spacing w:after="35"/>
              <w:jc w:val="center"/>
            </w:pPr>
            <w:r>
              <w:drawing>
                <wp:inline distT="0" distB="0" distL="0" distR="0">
                  <wp:extent cx="2628900" cy="1943100"/>
                  <wp:effectExtent t="0" r="0" b="0" l="0"/>
                  <wp:docPr id="1" name="Talent Atlas agent interface with streamed tool activity" descr="Talent Atlas agent interface with streamed tool activity" title="Talent Atlas agent interface with streamed too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28900" cy="1943100"/>
                          </a:xfrm>
                          <a:prstGeom prst="rect">
                            <a:avLst/>
                          </a:prstGeom>
                        </pic:spPr>
                      </pic:pic>
                    </a:graphicData>
                  </a:graphic>
                </wp:inline>
              </w:drawing>
            </w:r>
          </w:p>
          <w:p>
            <w:pPr>
              <w:spacing w:after="0" w:line="190"/>
              <w:jc w:val="center"/>
            </w:pPr>
            <w:r>
              <w:rPr>
                <w:rFonts w:ascii="Arial" w:cs="Arial" w:eastAsia="Arial" w:hAnsi="Arial"/>
                <w:color w:val="596A78"/>
                <w:sz w:val="14"/>
                <w:szCs w:val="14"/>
              </w:rPr>
              <w:t xml:space="preserve">Figure 1. The recruiter-facing UI streams tool activity and renders candidate cards separately from the model's prose.</w:t>
            </w:r>
          </w:p>
        </w:tc>
        <w:tc>
          <w:tcPr>
            <w:tcW w:type="dxa" w:w="5256"/>
            <w:tcBorders>
              <w:top w:val="single" w:color="C8D4DC" w:sz="5"/>
              <w:left w:val="single" w:color="C8D4DC" w:sz="5"/>
              <w:bottom w:val="single" w:color="C8D4DC" w:sz="5"/>
              <w:right w:val="single" w:color="C8D4DC" w:sz="5"/>
            </w:tcBorders>
            <w:shd w:fill="E9F4F2" w:val="clear"/>
            <w:tcMar>
              <w:top w:type="dxa" w:w="120"/>
              <w:left w:type="dxa" w:w="150"/>
              <w:bottom w:type="dxa" w:w="120"/>
              <w:right w:type="dxa" w:w="150"/>
            </w:tcMar>
            <w:vAlign w:val="top"/>
          </w:tcPr>
          <w:p>
            <w:pPr>
              <w:spacing w:after="35"/>
              <w:jc w:val="center"/>
            </w:pPr>
            <w:r>
              <w:drawing>
                <wp:inline distT="0" distB="0" distL="0" distR="0">
                  <wp:extent cx="2628900" cy="1076325"/>
                  <wp:effectExtent t="0" r="0" b="0" l="0"/>
                  <wp:docPr id="1" name="Langfuse trace showing nested planner retrieval and ranking spans" descr="Langfuse trace showing nested planner retrieval and ranking spans" title="Langfuse trace showing nested planner retrieval and ranking 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28900" cy="1076325"/>
                          </a:xfrm>
                          <a:prstGeom prst="rect">
                            <a:avLst/>
                          </a:prstGeom>
                        </pic:spPr>
                      </pic:pic>
                    </a:graphicData>
                  </a:graphic>
                </wp:inline>
              </w:drawing>
            </w:r>
          </w:p>
          <w:p>
            <w:pPr>
              <w:keepNext/>
              <w:spacing w:after="45" w:before="50"/>
            </w:pPr>
            <w:r>
              <w:rPr>
                <w:rFonts w:ascii="Arial" w:cs="Arial" w:eastAsia="Arial" w:hAnsi="Arial"/>
                <w:b/>
                <w:bCs/>
                <w:color w:val="008C83"/>
                <w:sz w:val="21"/>
                <w:szCs w:val="21"/>
              </w:rPr>
              <w:t xml:space="preserve">From 'slow' to a traceable cause</w:t>
            </w:r>
          </w:p>
          <w:p>
            <w:pPr>
              <w:spacing w:after="45" w:line="220"/>
            </w:pPr>
            <w:r>
              <w:rPr>
                <w:rFonts w:ascii="Arial" w:cs="Arial" w:eastAsia="Arial" w:hAnsi="Arial"/>
              </w:rPr>
              <w:t xml:space="preserve">Langfuse nests the request, model generation, tool calls, SQL, retrieval branches, fusion and reranking. That separates model latency from database waits and ranking cost, supports replay and allows production content to be sampled and redacted. [7]</w:t>
            </w:r>
          </w:p>
          <w:p>
            <w:pPr>
              <w:spacing w:after="0"/>
              <w:jc w:val="center"/>
            </w:pPr>
            <w:r>
              <w:rPr>
                <w:rFonts w:ascii="Arial" w:cs="Arial" w:eastAsia="Arial" w:hAnsi="Arial"/>
                <w:color w:val="596A78"/>
                <w:sz w:val="14"/>
                <w:szCs w:val="14"/>
              </w:rPr>
              <w:t xml:space="preserve">Figure 2. Search spans from a recorded trace.</w:t>
            </w:r>
          </w:p>
        </w:tc>
      </w:tr>
    </w:tbl>
    <w:p>
      <w:pPr>
        <w:pStyle w:val="Heading2"/>
        <w:keepNext/>
        <w:spacing w:after="75" w:before="130"/>
      </w:pPr>
      <w:r>
        <w:rPr>
          <w:rFonts w:ascii="Georgia" w:cs="Georgia" w:eastAsia="Georgia" w:hAnsi="Georgia"/>
          <w:b/>
          <w:bCs/>
          <w:color w:val="17324D"/>
          <w:sz w:val="28"/>
          <w:szCs w:val="28"/>
        </w:rPr>
        <w:t xml:space="preserve">Learning without silent bias</w:t>
      </w:r>
    </w:p>
    <w:p>
      <w:pPr>
        <w:spacing w:after="110" w:line="250"/>
      </w:pPr>
      <w:r>
        <w:rPr>
          <w:rFonts w:ascii="Arial" w:cs="Arial" w:eastAsia="Arial" w:hAnsi="Arial"/>
        </w:rPr>
        <w:t xml:space="preserve">Search impressions and explicit outcomes create a future learning dataset, but unconfirmed observations cannot affect ranking. Confirmed preferences are stored separately, personalization can be disabled, and every score remains decomposable into named signals.</w:t>
      </w:r>
    </w:p>
    <w:p>
      <w:r>
        <w:br w:type="page"/>
      </w:r>
    </w:p>
    <w:p>
      <w:pPr>
        <w:keepNext/>
        <w:spacing w:after="70" w:before="40"/>
      </w:pPr>
      <w:r>
        <w:rPr>
          <w:rFonts w:ascii="Arial" w:cs="Arial" w:eastAsia="Arial" w:hAnsi="Arial"/>
          <w:b/>
          <w:bCs/>
          <w:color w:val="008C83"/>
          <w:sz w:val="18"/>
          <w:szCs w:val="18"/>
        </w:rPr>
        <w:t xml:space="preserve">05 | VALUE, LIMITS AND NEXT STEPS</w:t>
      </w:r>
    </w:p>
    <w:p>
      <w:pPr>
        <w:pStyle w:val="Heading1"/>
        <w:keepNext/>
        <w:spacing w:after="150" w:before="30"/>
      </w:pPr>
      <w:r>
        <w:rPr>
          <w:rFonts w:ascii="Georgia" w:cs="Georgia" w:eastAsia="Georgia" w:hAnsi="Georgia"/>
          <w:b/>
          <w:bCs/>
          <w:color w:val="17324D"/>
          <w:sz w:val="42"/>
          <w:szCs w:val="42"/>
        </w:rPr>
        <w:t xml:space="preserve">A credible foundation, with clear claims still to earn</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30"/>
              <w:left w:type="dxa" w:w="150"/>
              <w:bottom w:type="dxa" w:w="130"/>
              <w:right w:type="dxa" w:w="150"/>
            </w:tcMar>
            <w:vAlign w:val="top"/>
          </w:tcPr>
          <w:p>
            <w:pPr>
              <w:spacing w:after="55"/>
            </w:pPr>
            <w:r>
              <w:rPr>
                <w:rFonts w:ascii="Arial" w:cs="Arial" w:eastAsia="Arial" w:hAnsi="Arial"/>
                <w:b/>
                <w:bCs/>
                <w:color w:val="3E83A8"/>
                <w:sz w:val="16"/>
                <w:szCs w:val="16"/>
              </w:rPr>
              <w:t xml:space="preserve">SPEED</w:t>
            </w:r>
          </w:p>
          <w:p>
            <w:pPr>
              <w:keepNext/>
              <w:spacing w:after="60"/>
            </w:pPr>
            <w:r>
              <w:rPr>
                <w:rFonts w:ascii="Georgia" w:cs="Georgia" w:eastAsia="Georgia" w:hAnsi="Georgia"/>
                <w:b/>
                <w:bCs/>
                <w:color w:val="17324D"/>
                <w:sz w:val="22"/>
                <w:szCs w:val="22"/>
              </w:rPr>
              <w:t xml:space="preserve">One reusable engine</w:t>
            </w:r>
          </w:p>
          <w:p>
            <w:pPr>
              <w:spacing w:after="0" w:line="225"/>
            </w:pPr>
            <w:r>
              <w:rPr>
                <w:rFonts w:ascii="Arial" w:cs="Arial" w:eastAsia="Arial" w:hAnsi="Arial"/>
                <w:color w:val="243442"/>
                <w:sz w:val="17"/>
                <w:szCs w:val="17"/>
              </w:rPr>
              <w:t xml:space="preserve">The UI, benchmarks and agent share ranking logic instead of maintaining divergent search paths.</w:t>
            </w:r>
          </w:p>
        </w:tc>
        <w:tc>
          <w:tcPr>
            <w:tcW w:type="dxa" w:w="3504"/>
            <w:tcBorders>
              <w:top w:val="single" w:color="C8D4DC" w:sz="5"/>
              <w:left w:val="single" w:color="C8D4DC" w:sz="5"/>
              <w:bottom w:val="single" w:color="C8D4DC" w:sz="5"/>
              <w:right w:val="single" w:color="C8D4DC" w:sz="5"/>
            </w:tcBorders>
            <w:shd w:fill="E9F4F2" w:val="clear"/>
            <w:tcMar>
              <w:top w:type="dxa" w:w="130"/>
              <w:left w:type="dxa" w:w="150"/>
              <w:bottom w:type="dxa" w:w="130"/>
              <w:right w:type="dxa" w:w="150"/>
            </w:tcMar>
            <w:vAlign w:val="top"/>
          </w:tcPr>
          <w:p>
            <w:pPr>
              <w:spacing w:after="55"/>
            </w:pPr>
            <w:r>
              <w:rPr>
                <w:rFonts w:ascii="Arial" w:cs="Arial" w:eastAsia="Arial" w:hAnsi="Arial"/>
                <w:b/>
                <w:bCs/>
                <w:color w:val="008C83"/>
                <w:sz w:val="16"/>
                <w:szCs w:val="16"/>
              </w:rPr>
              <w:t xml:space="preserve">TRUST</w:t>
            </w:r>
          </w:p>
          <w:p>
            <w:pPr>
              <w:keepNext/>
              <w:spacing w:after="60"/>
            </w:pPr>
            <w:r>
              <w:rPr>
                <w:rFonts w:ascii="Georgia" w:cs="Georgia" w:eastAsia="Georgia" w:hAnsi="Georgia"/>
                <w:b/>
                <w:bCs/>
                <w:color w:val="17324D"/>
                <w:sz w:val="22"/>
                <w:szCs w:val="22"/>
              </w:rPr>
              <w:t xml:space="preserve">Auditable evidence</w:t>
            </w:r>
          </w:p>
          <w:p>
            <w:pPr>
              <w:spacing w:after="0" w:line="225"/>
            </w:pPr>
            <w:r>
              <w:rPr>
                <w:rFonts w:ascii="Arial" w:cs="Arial" w:eastAsia="Arial" w:hAnsi="Arial"/>
                <w:color w:val="243442"/>
                <w:sz w:val="17"/>
                <w:szCs w:val="17"/>
              </w:rPr>
              <w:t xml:space="preserve">Each result carries matching passages, normalized intent, component scores and trace metadata.</w:t>
            </w:r>
          </w:p>
        </w:tc>
        <w:tc>
          <w:tcPr>
            <w:tcW w:type="dxa" w:w="3504"/>
            <w:tcBorders>
              <w:top w:val="single" w:color="C8D4DC" w:sz="5"/>
              <w:left w:val="single" w:color="C8D4DC" w:sz="5"/>
              <w:bottom w:val="single" w:color="C8D4DC" w:sz="5"/>
              <w:right w:val="single" w:color="C8D4DC" w:sz="5"/>
            </w:tcBorders>
            <w:shd w:fill="FFF2E3" w:val="clear"/>
            <w:tcMar>
              <w:top w:type="dxa" w:w="130"/>
              <w:left w:type="dxa" w:w="150"/>
              <w:bottom w:type="dxa" w:w="130"/>
              <w:right w:type="dxa" w:w="150"/>
            </w:tcMar>
            <w:vAlign w:val="top"/>
          </w:tcPr>
          <w:p>
            <w:pPr>
              <w:spacing w:after="55"/>
            </w:pPr>
            <w:r>
              <w:rPr>
                <w:rFonts w:ascii="Arial" w:cs="Arial" w:eastAsia="Arial" w:hAnsi="Arial"/>
                <w:b/>
                <w:bCs/>
                <w:color w:val="E99132"/>
                <w:sz w:val="16"/>
                <w:szCs w:val="16"/>
              </w:rPr>
              <w:t xml:space="preserve">LEARNING</w:t>
            </w:r>
          </w:p>
          <w:p>
            <w:pPr>
              <w:keepNext/>
              <w:spacing w:after="60"/>
            </w:pPr>
            <w:r>
              <w:rPr>
                <w:rFonts w:ascii="Georgia" w:cs="Georgia" w:eastAsia="Georgia" w:hAnsi="Georgia"/>
                <w:b/>
                <w:bCs/>
                <w:color w:val="17324D"/>
                <w:sz w:val="22"/>
                <w:szCs w:val="22"/>
              </w:rPr>
              <w:t xml:space="preserve">Measured iteration</w:t>
            </w:r>
          </w:p>
          <w:p>
            <w:pPr>
              <w:spacing w:after="0" w:line="225"/>
            </w:pPr>
            <w:r>
              <w:rPr>
                <w:rFonts w:ascii="Arial" w:cs="Arial" w:eastAsia="Arial" w:hAnsi="Arial"/>
                <w:color w:val="243442"/>
                <w:sz w:val="17"/>
                <w:szCs w:val="17"/>
              </w:rPr>
              <w:t xml:space="preserve">Outcomes and traces can support tuning by role family without treating the LLM as an oracle.</w:t>
            </w:r>
          </w:p>
        </w:tc>
      </w:tr>
    </w:tbl>
    <w:p>
      <w:pPr>
        <w:pStyle w:val="Heading2"/>
        <w:keepNext/>
        <w:spacing w:after="75" w:before="130"/>
      </w:pPr>
      <w:r>
        <w:rPr>
          <w:rFonts w:ascii="Georgia" w:cs="Georgia" w:eastAsia="Georgia" w:hAnsi="Georgia"/>
          <w:b/>
          <w:bCs/>
          <w:color w:val="17324D"/>
          <w:sz w:val="28"/>
          <w:szCs w:val="28"/>
        </w:rPr>
        <w:t xml:space="preserve">What is proven - and what is not</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5256"/>
        <w:gridCol w:w="5256"/>
      </w:tblGrid>
      <w:tr>
        <w:tc>
          <w:tcPr>
            <w:tcW w:type="dxa" w:w="5256"/>
            <w:tcBorders>
              <w:top w:val="single" w:color="C8D4DC" w:sz="5"/>
              <w:left w:val="single" w:color="C8D4DC" w:sz="5"/>
              <w:bottom w:val="single" w:color="C8D4DC" w:sz="5"/>
              <w:right w:val="single" w:color="C8D4DC" w:sz="5"/>
            </w:tcBorders>
            <w:shd w:fill="E9F4F2" w:val="clear"/>
            <w:tcMar>
              <w:top w:type="dxa" w:w="120"/>
              <w:left w:type="dxa" w:w="150"/>
              <w:bottom w:type="dxa" w:w="120"/>
              <w:right w:type="dxa" w:w="150"/>
            </w:tcMar>
            <w:vAlign w:val="top"/>
          </w:tcPr>
          <w:p>
            <w:pPr>
              <w:keepNext/>
              <w:spacing w:after="45" w:before="50"/>
            </w:pPr>
            <w:r>
              <w:rPr>
                <w:rFonts w:ascii="Arial" w:cs="Arial" w:eastAsia="Arial" w:hAnsi="Arial"/>
                <w:b/>
                <w:bCs/>
                <w:color w:val="008C83"/>
                <w:sz w:val="21"/>
                <w:szCs w:val="21"/>
              </w:rPr>
              <w:t xml:space="preserve">Demonstrated in the prototype</w:t>
            </w:r>
          </w:p>
          <w:p>
            <w:pPr>
              <w:spacing w:after="110" w:line="250"/>
            </w:pPr>
            <w:r>
              <w:rPr>
                <w:rFonts w:ascii="Arial" w:cs="Arial" w:eastAsia="Arial" w:hAnsi="Arial"/>
              </w:rPr>
              <w:t xml:space="preserve">A working hybrid retrieval architecture; a stable typed search contract; candidate-level evidence and explanations; configurable search modes; agent tool calling; guarded memory; and end-to-end observability.</w:t>
            </w:r>
          </w:p>
        </w:tc>
        <w:tc>
          <w:tcPr>
            <w:tcW w:type="dxa" w:w="5256"/>
            <w:tcBorders>
              <w:top w:val="single" w:color="C8D4DC" w:sz="5"/>
              <w:left w:val="single" w:color="C8D4DC" w:sz="5"/>
              <w:bottom w:val="single" w:color="C8D4DC" w:sz="5"/>
              <w:right w:val="single" w:color="C8D4DC" w:sz="5"/>
            </w:tcBorders>
            <w:shd w:fill="FFF2E3" w:val="clear"/>
            <w:tcMar>
              <w:top w:type="dxa" w:w="120"/>
              <w:left w:type="dxa" w:w="150"/>
              <w:bottom w:type="dxa" w:w="120"/>
              <w:right w:type="dxa" w:w="150"/>
            </w:tcMar>
            <w:vAlign w:val="top"/>
          </w:tcPr>
          <w:p>
            <w:pPr>
              <w:keepNext/>
              <w:spacing w:after="45" w:before="50"/>
            </w:pPr>
            <w:r>
              <w:rPr>
                <w:rFonts w:ascii="Arial" w:cs="Arial" w:eastAsia="Arial" w:hAnsi="Arial"/>
                <w:b/>
                <w:bCs/>
                <w:color w:val="E99132"/>
                <w:sz w:val="21"/>
                <w:szCs w:val="21"/>
              </w:rPr>
              <w:t xml:space="preserve">Still requires production evidence</w:t>
            </w:r>
          </w:p>
          <w:p>
            <w:pPr>
              <w:spacing w:after="110" w:line="250"/>
            </w:pPr>
            <w:r>
              <w:rPr>
                <w:rFonts w:ascii="Arial" w:cs="Arial" w:eastAsia="Arial" w:hAnsi="Arial"/>
              </w:rPr>
              <w:t xml:space="preserve">A recruiter-adjudicated benchmark large enough for model selection; production-scale concurrency and failure testing; measured business uplift; tenant isolation; PII governance; fairness analysis; and workflow integration.</w:t>
            </w:r>
          </w:p>
        </w:tc>
      </w:tr>
    </w:tbl>
    <w:p>
      <w:pPr>
        <w:pStyle w:val="Heading2"/>
        <w:keepNext/>
        <w:spacing w:after="75" w:before="130"/>
      </w:pPr>
      <w:r>
        <w:rPr>
          <w:rFonts w:ascii="Georgia" w:cs="Georgia" w:eastAsia="Georgia" w:hAnsi="Georgia"/>
          <w:b/>
          <w:bCs/>
          <w:color w:val="17324D"/>
          <w:sz w:val="28"/>
          <w:szCs w:val="28"/>
        </w:rPr>
        <w:t xml:space="preserve">A pragmatic 90-day path</w:t>
      </w:r>
    </w:p>
    <w:tbl>
      <w:tblPr>
        <w:tblW w:type="dxa" w:w="10512"/>
        <w:jc w:val="center"/>
        <w:tblBorders>
          <w:top w:val="none" w:color="FFFFFF" w:sz="0"/>
          <w:left w:val="none" w:color="FFFFFF" w:sz="0"/>
          <w:bottom w:val="none" w:color="FFFFFF" w:sz="0"/>
          <w:right w:val="none" w:color="FFFFFF" w:sz="0"/>
          <w:insideH w:val="none" w:color="FFFFFF" w:sz="0"/>
          <w:insideV w:val="none" w:color="FFFFFF" w:sz="0"/>
        </w:tblBorders>
      </w:tblPr>
      <w:tblGrid>
        <w:gridCol w:w="3504"/>
        <w:gridCol w:w="3504"/>
        <w:gridCol w:w="3504"/>
      </w:tblGrid>
      <w:tr>
        <w:tc>
          <w:tcPr>
            <w:tcW w:type="dxa" w:w="3504"/>
            <w:tcBorders>
              <w:top w:val="single" w:color="C8D4DC" w:sz="5"/>
              <w:left w:val="single" w:color="C8D4DC" w:sz="5"/>
              <w:bottom w:val="single" w:color="C8D4DC" w:sz="5"/>
              <w:right w:val="single" w:color="C8D4DC" w:sz="5"/>
            </w:tcBorders>
            <w:shd w:fill="EDF3F7" w:val="clear"/>
            <w:tcMar>
              <w:top w:type="dxa" w:w="100"/>
              <w:left w:type="dxa" w:w="115"/>
              <w:bottom w:type="dxa" w:w="100"/>
              <w:right w:type="dxa" w:w="95"/>
            </w:tcMar>
            <w:vAlign w:val="top"/>
          </w:tcPr>
          <w:p>
            <w:pPr>
              <w:spacing w:after="45"/>
            </w:pPr>
            <w:r>
              <w:rPr>
                <w:rFonts w:ascii="Arial" w:cs="Arial" w:eastAsia="Arial" w:hAnsi="Arial"/>
                <w:b/>
                <w:bCs/>
                <w:color w:val="3E83A8"/>
                <w:sz w:val="15"/>
                <w:szCs w:val="15"/>
              </w:rPr>
              <w:t xml:space="preserve">0-30 DAYS</w:t>
            </w:r>
          </w:p>
          <w:p>
            <w:pPr>
              <w:keepNext/>
              <w:spacing w:after="60"/>
            </w:pPr>
            <w:r>
              <w:rPr>
                <w:rFonts w:ascii="Arial" w:cs="Arial" w:eastAsia="Arial" w:hAnsi="Arial"/>
                <w:b/>
                <w:bCs/>
                <w:color w:val="17324D"/>
                <w:sz w:val="18"/>
                <w:szCs w:val="18"/>
              </w:rPr>
              <w:t xml:space="preserve">Benchmark</w:t>
            </w:r>
          </w:p>
          <w:p>
            <w:pPr>
              <w:pStyle w:val="ListParagraph"/>
              <w:numPr>
                <w:ilvl w:val="0"/>
                <w:numId w:val="2"/>
              </w:numPr>
              <w:spacing w:after="34" w:line="200"/>
            </w:pPr>
            <w:r>
              <w:rPr>
                <w:rFonts w:ascii="Arial" w:cs="Arial" w:eastAsia="Arial" w:hAnsi="Arial"/>
                <w:color w:val="243442"/>
                <w:sz w:val="15"/>
                <w:szCs w:val="15"/>
              </w:rPr>
              <w:t xml:space="preserve">100-200 adjudicated queries</w:t>
            </w:r>
          </w:p>
          <w:p>
            <w:pPr>
              <w:pStyle w:val="ListParagraph"/>
              <w:numPr>
                <w:ilvl w:val="0"/>
                <w:numId w:val="2"/>
              </w:numPr>
              <w:spacing w:after="34" w:line="200"/>
            </w:pPr>
            <w:r>
              <w:rPr>
                <w:rFonts w:ascii="Arial" w:cs="Arial" w:eastAsia="Arial" w:hAnsi="Arial"/>
                <w:color w:val="243442"/>
                <w:sz w:val="15"/>
                <w:szCs w:val="15"/>
              </w:rPr>
              <w:t xml:space="preserve">Recall@50 and nDCG@10</w:t>
            </w:r>
          </w:p>
          <w:p>
            <w:pPr>
              <w:pStyle w:val="ListParagraph"/>
              <w:numPr>
                <w:ilvl w:val="0"/>
                <w:numId w:val="2"/>
              </w:numPr>
              <w:spacing w:after="34" w:line="200"/>
            </w:pPr>
            <w:r>
              <w:rPr>
                <w:rFonts w:ascii="Arial" w:cs="Arial" w:eastAsia="Arial" w:hAnsi="Arial"/>
                <w:color w:val="243442"/>
                <w:sz w:val="15"/>
                <w:szCs w:val="15"/>
              </w:rPr>
              <w:t xml:space="preserve">hard-constraint violations</w:t>
            </w:r>
          </w:p>
        </w:tc>
        <w:tc>
          <w:tcPr>
            <w:tcW w:type="dxa" w:w="3504"/>
            <w:tcBorders>
              <w:top w:val="single" w:color="C8D4DC" w:sz="5"/>
              <w:left w:val="single" w:color="C8D4DC" w:sz="5"/>
              <w:bottom w:val="single" w:color="C8D4DC" w:sz="5"/>
              <w:right w:val="single" w:color="C8D4DC" w:sz="5"/>
            </w:tcBorders>
            <w:shd w:fill="E9F4F2" w:val="clear"/>
            <w:tcMar>
              <w:top w:type="dxa" w:w="100"/>
              <w:left w:type="dxa" w:w="115"/>
              <w:bottom w:type="dxa" w:w="100"/>
              <w:right w:type="dxa" w:w="95"/>
            </w:tcMar>
            <w:vAlign w:val="top"/>
          </w:tcPr>
          <w:p>
            <w:pPr>
              <w:spacing w:after="45"/>
            </w:pPr>
            <w:r>
              <w:rPr>
                <w:rFonts w:ascii="Arial" w:cs="Arial" w:eastAsia="Arial" w:hAnsi="Arial"/>
                <w:b/>
                <w:bCs/>
                <w:color w:val="008C83"/>
                <w:sz w:val="15"/>
                <w:szCs w:val="15"/>
              </w:rPr>
              <w:t xml:space="preserve">31-60 DAYS</w:t>
            </w:r>
          </w:p>
          <w:p>
            <w:pPr>
              <w:keepNext/>
              <w:spacing w:after="60"/>
            </w:pPr>
            <w:r>
              <w:rPr>
                <w:rFonts w:ascii="Arial" w:cs="Arial" w:eastAsia="Arial" w:hAnsi="Arial"/>
                <w:b/>
                <w:bCs/>
                <w:color w:val="17324D"/>
                <w:sz w:val="18"/>
                <w:szCs w:val="18"/>
              </w:rPr>
              <w:t xml:space="preserve">Harden</w:t>
            </w:r>
          </w:p>
          <w:p>
            <w:pPr>
              <w:pStyle w:val="ListParagraph"/>
              <w:numPr>
                <w:ilvl w:val="0"/>
                <w:numId w:val="2"/>
              </w:numPr>
              <w:spacing w:after="34" w:line="200"/>
            </w:pPr>
            <w:r>
              <w:rPr>
                <w:rFonts w:ascii="Arial" w:cs="Arial" w:eastAsia="Arial" w:hAnsi="Arial"/>
                <w:color w:val="243442"/>
                <w:sz w:val="15"/>
                <w:szCs w:val="15"/>
              </w:rPr>
              <w:t xml:space="preserve">privacy + access controls</w:t>
            </w:r>
          </w:p>
          <w:p>
            <w:pPr>
              <w:pStyle w:val="ListParagraph"/>
              <w:numPr>
                <w:ilvl w:val="0"/>
                <w:numId w:val="2"/>
              </w:numPr>
              <w:spacing w:after="34" w:line="200"/>
            </w:pPr>
            <w:r>
              <w:rPr>
                <w:rFonts w:ascii="Arial" w:cs="Arial" w:eastAsia="Arial" w:hAnsi="Arial"/>
                <w:color w:val="243442"/>
                <w:sz w:val="15"/>
                <w:szCs w:val="15"/>
              </w:rPr>
              <w:t xml:space="preserve">migrations and load tests</w:t>
            </w:r>
          </w:p>
          <w:p>
            <w:pPr>
              <w:pStyle w:val="ListParagraph"/>
              <w:numPr>
                <w:ilvl w:val="0"/>
                <w:numId w:val="2"/>
              </w:numPr>
              <w:spacing w:after="34" w:line="200"/>
            </w:pPr>
            <w:r>
              <w:rPr>
                <w:rFonts w:ascii="Arial" w:cs="Arial" w:eastAsia="Arial" w:hAnsi="Arial"/>
                <w:color w:val="243442"/>
                <w:sz w:val="15"/>
                <w:szCs w:val="15"/>
              </w:rPr>
              <w:t xml:space="preserve">cache and queue behavior</w:t>
            </w:r>
          </w:p>
        </w:tc>
        <w:tc>
          <w:tcPr>
            <w:tcW w:type="dxa" w:w="3504"/>
            <w:tcBorders>
              <w:top w:val="single" w:color="C8D4DC" w:sz="5"/>
              <w:left w:val="single" w:color="C8D4DC" w:sz="5"/>
              <w:bottom w:val="single" w:color="C8D4DC" w:sz="5"/>
              <w:right w:val="single" w:color="C8D4DC" w:sz="5"/>
            </w:tcBorders>
            <w:shd w:fill="FFF2E3" w:val="clear"/>
            <w:tcMar>
              <w:top w:type="dxa" w:w="100"/>
              <w:left w:type="dxa" w:w="115"/>
              <w:bottom w:type="dxa" w:w="100"/>
              <w:right w:type="dxa" w:w="95"/>
            </w:tcMar>
            <w:vAlign w:val="top"/>
          </w:tcPr>
          <w:p>
            <w:pPr>
              <w:spacing w:after="45"/>
            </w:pPr>
            <w:r>
              <w:rPr>
                <w:rFonts w:ascii="Arial" w:cs="Arial" w:eastAsia="Arial" w:hAnsi="Arial"/>
                <w:b/>
                <w:bCs/>
                <w:color w:val="E99132"/>
                <w:sz w:val="15"/>
                <w:szCs w:val="15"/>
              </w:rPr>
              <w:t xml:space="preserve">61-90 DAYS</w:t>
            </w:r>
          </w:p>
          <w:p>
            <w:pPr>
              <w:keepNext/>
              <w:spacing w:after="60"/>
            </w:pPr>
            <w:r>
              <w:rPr>
                <w:rFonts w:ascii="Arial" w:cs="Arial" w:eastAsia="Arial" w:hAnsi="Arial"/>
                <w:b/>
                <w:bCs/>
                <w:color w:val="17324D"/>
                <w:sz w:val="18"/>
                <w:szCs w:val="18"/>
              </w:rPr>
              <w:t xml:space="preserve">Integrate + learn</w:t>
            </w:r>
          </w:p>
          <w:p>
            <w:pPr>
              <w:pStyle w:val="ListParagraph"/>
              <w:numPr>
                <w:ilvl w:val="0"/>
                <w:numId w:val="2"/>
              </w:numPr>
              <w:spacing w:after="34" w:line="200"/>
            </w:pPr>
            <w:r>
              <w:rPr>
                <w:rFonts w:ascii="Arial" w:cs="Arial" w:eastAsia="Arial" w:hAnsi="Arial"/>
                <w:color w:val="243442"/>
                <w:sz w:val="15"/>
                <w:szCs w:val="15"/>
              </w:rPr>
              <w:t xml:space="preserve">controlled recruiter pilot</w:t>
            </w:r>
          </w:p>
          <w:p>
            <w:pPr>
              <w:pStyle w:val="ListParagraph"/>
              <w:numPr>
                <w:ilvl w:val="0"/>
                <w:numId w:val="2"/>
              </w:numPr>
              <w:spacing w:after="34" w:line="200"/>
            </w:pPr>
            <w:r>
              <w:rPr>
                <w:rFonts w:ascii="Arial" w:cs="Arial" w:eastAsia="Arial" w:hAnsi="Arial"/>
                <w:color w:val="243442"/>
                <w:sz w:val="15"/>
                <w:szCs w:val="15"/>
              </w:rPr>
              <w:t xml:space="preserve">explicit rejection reasons</w:t>
            </w:r>
          </w:p>
          <w:p>
            <w:pPr>
              <w:pStyle w:val="ListParagraph"/>
              <w:numPr>
                <w:ilvl w:val="0"/>
                <w:numId w:val="2"/>
              </w:numPr>
              <w:spacing w:after="34" w:line="200"/>
            </w:pPr>
            <w:r>
              <w:rPr>
                <w:rFonts w:ascii="Arial" w:cs="Arial" w:eastAsia="Arial" w:hAnsi="Arial"/>
                <w:color w:val="243442"/>
                <w:sz w:val="15"/>
                <w:szCs w:val="15"/>
              </w:rPr>
              <w:t xml:space="preserve">role-family drift review</w:t>
            </w:r>
          </w:p>
        </w:tc>
      </w:tr>
    </w:tbl>
    <w:p>
      <w:pPr>
        <w:pStyle w:val="Heading2"/>
        <w:keepNext/>
        <w:spacing w:after="75" w:before="130"/>
      </w:pPr>
      <w:r>
        <w:rPr>
          <w:rFonts w:ascii="Georgia" w:cs="Georgia" w:eastAsia="Georgia" w:hAnsi="Georgia"/>
          <w:b/>
          <w:bCs/>
          <w:color w:val="17324D"/>
          <w:sz w:val="28"/>
          <w:szCs w:val="28"/>
        </w:rPr>
        <w:t xml:space="preserve">References and project evidence</w:t>
      </w:r>
    </w:p>
    <w:p>
      <w:pPr>
        <w:spacing w:after="42" w:line="190"/>
      </w:pPr>
      <w:r>
        <w:rPr>
          <w:rFonts w:ascii="Arial" w:cs="Arial" w:eastAsia="Arial" w:hAnsi="Arial"/>
          <w:b/>
          <w:bCs/>
          <w:color w:val="17324D"/>
          <w:sz w:val="15"/>
          <w:szCs w:val="15"/>
        </w:rPr>
        <w:t xml:space="preserve">[1] </w:t>
      </w:r>
      <w:r>
        <w:rPr>
          <w:rFonts w:ascii="Arial" w:cs="Arial" w:eastAsia="Arial" w:hAnsi="Arial"/>
          <w:color w:val="243442"/>
          <w:sz w:val="15"/>
          <w:szCs w:val="15"/>
        </w:rPr>
        <w:t xml:space="preserve">Lewis et al., Retrieval-Augmented Generation for Knowledge-Intensive NLP Tasks, NeurIPS 2020. </w:t>
      </w:r>
      <w:hyperlink w:history="1" r:id="rIdht5kv6bwaxt3d3yo1hq4y">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[2] </w:t>
      </w:r>
      <w:r>
        <w:rPr>
          <w:rFonts w:ascii="Arial" w:cs="Arial" w:eastAsia="Arial" w:hAnsi="Arial"/>
          <w:color w:val="243442"/>
          <w:sz w:val="15"/>
          <w:szCs w:val="15"/>
        </w:rPr>
        <w:t xml:space="preserve">pgvector documentation: vector search, HNSW, filtering and hybrid retrieval. </w:t>
      </w:r>
      <w:hyperlink w:history="1" r:id="rIdtuknp2cqwoa07elyduztc">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[3] </w:t>
      </w:r>
      <w:r>
        <w:rPr>
          <w:rFonts w:ascii="Arial" w:cs="Arial" w:eastAsia="Arial" w:hAnsi="Arial"/>
          <w:color w:val="243442"/>
          <w:sz w:val="15"/>
          <w:szCs w:val="15"/>
        </w:rPr>
        <w:t xml:space="preserve">Sentence Transformers model card: all-MiniLM-L6-v2. </w:t>
      </w:r>
      <w:hyperlink w:history="1" r:id="rIdtqwufj1t9kswcqzukc8ed">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[4] </w:t>
      </w:r>
      <w:r>
        <w:rPr>
          <w:rFonts w:ascii="Arial" w:cs="Arial" w:eastAsia="Arial" w:hAnsi="Arial"/>
          <w:color w:val="243442"/>
          <w:sz w:val="15"/>
          <w:szCs w:val="15"/>
        </w:rPr>
        <w:t xml:space="preserve">Cross-Encoder model card: ms-marco-MiniLM-L6-v2. </w:t>
      </w:r>
      <w:hyperlink w:history="1" r:id="rIdsszf9a0ibgrexg15tjadn">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[5] </w:t>
      </w:r>
      <w:r>
        <w:rPr>
          <w:rFonts w:ascii="Arial" w:cs="Arial" w:eastAsia="Arial" w:hAnsi="Arial"/>
          <w:color w:val="243442"/>
          <w:sz w:val="15"/>
          <w:szCs w:val="15"/>
        </w:rPr>
        <w:t xml:space="preserve">Cormack, Clarke and Buettcher, Reciprocal Rank Fusion, SIGIR 2009. </w:t>
      </w:r>
      <w:hyperlink w:history="1" r:id="rId_7zmbrht-noei9mjkc-r4">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[6] </w:t>
      </w:r>
      <w:r>
        <w:rPr>
          <w:rFonts w:ascii="Arial" w:cs="Arial" w:eastAsia="Arial" w:hAnsi="Arial"/>
          <w:color w:val="243442"/>
          <w:sz w:val="15"/>
          <w:szCs w:val="15"/>
        </w:rPr>
        <w:t xml:space="preserve">PydanticAI model and provider abstraction. </w:t>
      </w:r>
      <w:hyperlink w:history="1" r:id="rId2_inkkjconbcw53_acsfb">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[7] </w:t>
      </w:r>
      <w:r>
        <w:rPr>
          <w:rFonts w:ascii="Arial" w:cs="Arial" w:eastAsia="Arial" w:hAnsi="Arial"/>
          <w:color w:val="243442"/>
          <w:sz w:val="15"/>
          <w:szCs w:val="15"/>
        </w:rPr>
        <w:t xml:space="preserve">Langfuse observability and application tracing. </w:t>
      </w:r>
      <w:hyperlink w:history="1" r:id="rIdzgwjzverxnic37dplbkti">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[8] </w:t>
      </w:r>
      <w:r>
        <w:rPr>
          <w:rFonts w:ascii="Arial" w:cs="Arial" w:eastAsia="Arial" w:hAnsi="Arial"/>
          <w:color w:val="243442"/>
          <w:sz w:val="15"/>
          <w:szCs w:val="15"/>
        </w:rPr>
        <w:t xml:space="preserve">Talent Atlas engineering journal. </w:t>
      </w:r>
      <w:hyperlink w:history="1" r:id="rIdv_lmgq6vchdkus_fsbw7q">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[9] </w:t>
      </w:r>
      <w:r>
        <w:rPr>
          <w:rFonts w:ascii="Arial" w:cs="Arial" w:eastAsia="Arial" w:hAnsi="Arial"/>
          <w:color w:val="243442"/>
          <w:sz w:val="15"/>
          <w:szCs w:val="15"/>
        </w:rPr>
        <w:t xml:space="preserve">Talent Atlas source repository and recorded benchmark artifacts. </w:t>
      </w:r>
      <w:hyperlink w:history="1" r:id="rIdnbakoizadwp72sslokeve">
        <w:r>
          <w:rPr>
            <w:rFonts w:ascii="Arial" w:cs="Arial" w:eastAsia="Arial" w:hAnsi="Arial"/>
            <w:b w:val="false"/>
            <w:bCs w:val="false"/>
            <w:color w:val="008C83"/>
            <w:sz w:val="15"/>
            <w:szCs w:val="15"/>
            <w:u w:val="single"/>
          </w:rPr>
          <w:t xml:space="preserve">Source</w:t>
        </w:r>
      </w:hyperlink>
    </w:p>
    <w:p>
      <w:pPr>
        <w:spacing w:after="42" w:line="190"/>
      </w:pPr>
      <w:r>
        <w:rPr>
          <w:rFonts w:ascii="Arial" w:cs="Arial" w:eastAsia="Arial" w:hAnsi="Arial"/>
          <w:b/>
          <w:bCs/>
          <w:color w:val="17324D"/>
          <w:sz w:val="15"/>
          <w:szCs w:val="15"/>
        </w:rPr>
        <w:t xml:space="preserve">[10] </w:t>
      </w:r>
      <w:r>
        <w:rPr>
          <w:rFonts w:ascii="Arial" w:cs="Arial" w:eastAsia="Arial" w:hAnsi="Arial"/>
          <w:color w:val="243442"/>
          <w:sz w:val="15"/>
          <w:szCs w:val="15"/>
        </w:rPr>
        <w:t xml:space="preserve">Interactive Talent Atlas demonstration. </w:t>
      </w:r>
      <w:hyperlink w:history="1" r:id="rIdh7lobpjehil9teflirci5">
        <w:r>
          <w:rPr>
            <w:rFonts w:ascii="Arial" w:cs="Arial" w:eastAsia="Arial" w:hAnsi="Arial"/>
            <w:b w:val="false"/>
            <w:bCs w:val="false"/>
            <w:color w:val="008C83"/>
            <w:sz w:val="15"/>
            <w:szCs w:val="15"/>
            <w:u w:val="single"/>
          </w:rPr>
          <w:t xml:space="preserve">Source</w:t>
        </w:r>
      </w:hyperlink>
    </w:p>
    <w:p>
      <w:pPr>
        <w:spacing w:after="0" w:before="55" w:line="190"/>
      </w:pPr>
      <w:r>
        <w:rPr>
          <w:rFonts w:ascii="Arial" w:cs="Arial" w:eastAsia="Arial" w:hAnsi="Arial"/>
          <w:color w:val="596A78"/>
          <w:sz w:val="14"/>
          <w:szCs w:val="14"/>
        </w:rPr>
        <w:t xml:space="preserve">Prepared as a concise engineering whitepaper for the Straatix Talent Atlas prototype. Forward-looking recommendations should be validated through labeled evaluation, privacy review and production testing.</w:t>
      </w:r>
    </w:p>
    <w:sectPr>
      <w:headerReference w:type="default" r:id="rId7"/>
      <w:footerReference w:type="default" r:id="rId8"/>
      <w:pgSz w:w="12240" w:h="15840" w:orient="portrait"/>
      <w:pgMar w:top="760" w:right="864" w:bottom="760" w:left="864"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0"/>
      </w:tabs>
      <w:spacing w:before="40"/>
    </w:pPr>
    <w:r>
      <w:rPr>
        <w:rFonts w:ascii="Arial" w:cs="Arial" w:eastAsia="Arial" w:hAnsi="Arial"/>
        <w:color w:val="596A78"/>
        <w:sz w:val="14"/>
        <w:szCs w:val="14"/>
      </w:rPr>
      <w:t xml:space="preserve">Talent Atlas Hybrid RAG Whitepaper</w:t>
    </w:r>
    <w:r>
      <w:rPr>
        <w:rFonts w:ascii="Arial" w:cs="Arial" w:eastAsia="Arial" w:hAnsi="Arial"/>
      </w:rPr>
      <w:t xml:space="preserve">	</w:t>
    </w:r>
    <w:r>
      <w:rPr>
        <w:rFonts w:ascii="Arial" w:cs="Arial" w:eastAsia="Arial" w:hAnsi="Arial"/>
        <w:color w:val="596A78"/>
        <w:sz w:val="14"/>
        <w:szCs w:val="14"/>
      </w:rPr>
      <w:t xml:space="preserve">Page </w:t>
    </w:r>
    <w:r>
      <w:rPr>
        <w:rFonts w:ascii="Arial" w:cs="Arial" w:eastAsia="Arial" w:hAnsi="Arial"/>
        <w:color w:val="596A78"/>
        <w:sz w:val="14"/>
        <w:szCs w:val="14"/>
      </w:rPr>
      <w:fldChar w:fldCharType="begin"/>
      <w:instrText xml:space="preserve">PAGE</w:instrText>
      <w:fldChar w:fldCharType="separate"/>
      <w:fldChar w:fldCharType="end"/>
    </w:r>
    <w:r>
      <w:rPr>
        <w:rFonts w:ascii="Arial" w:cs="Arial" w:eastAsia="Arial" w:hAnsi="Arial"/>
        <w:color w:val="596A78"/>
        <w:sz w:val="14"/>
        <w:szCs w:val="14"/>
      </w:rPr>
      <w:t xml:space="preserve"> of </w:t>
    </w:r>
    <w:r>
      <w:rPr>
        <w:rFonts w:ascii="Arial" w:cs="Arial" w:eastAsia="Arial" w:hAnsi="Arial"/>
        <w:color w:val="596A7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DC" w:sz="4" w:space="3"/>
      </w:pBdr>
      <w:spacing w:after="40"/>
    </w:pPr>
    <w:r>
      <w:rPr>
        <w:rFonts w:ascii="Arial" w:cs="Arial" w:eastAsia="Arial" w:hAnsi="Arial"/>
        <w:b/>
        <w:bCs/>
        <w:color w:val="17324D"/>
        <w:sz w:val="15"/>
        <w:szCs w:val="15"/>
      </w:rPr>
      <w:t xml:space="preserve">STRAATIX PARTNERS</w:t>
    </w:r>
    <w:r>
      <w:rPr>
        <w:rFonts w:ascii="Arial" w:cs="Arial" w:eastAsia="Arial" w:hAnsi="Arial"/>
        <w:color w:val="596A78"/>
        <w:sz w:val="15"/>
        <w:szCs w:val="15"/>
      </w:rPr>
      <w:t xml:space="preserve">  |  TALENT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44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
      <w:outlineLvl w:val="0"/>
    </w:pPr>
    <w:rPr>
      <w:rFonts w:ascii="Georgia" w:cs="Georgia" w:eastAsia="Georgia" w:hAnsi="Georgia"/>
      <w:b/>
      <w:bCs/>
      <w:color w:val="17324D"/>
      <w:sz w:val="42"/>
      <w:szCs w:val="42"/>
    </w:rPr>
  </w:style>
  <w:style w:type="paragraph" w:styleId="Heading2">
    <w:name w:val="Heading 2"/>
    <w:basedOn w:val="Normal"/>
    <w:next w:val="Normal"/>
    <w:qFormat/>
    <w:pPr>
      <w:spacing w:after="75" w:before="130"/>
      <w:outlineLvl w:val="1"/>
    </w:pPr>
    <w:rPr>
      <w:rFonts w:ascii="Georgia" w:cs="Georgia" w:eastAsia="Georgia" w:hAnsi="Georgia"/>
      <w:b/>
      <w:bCs/>
      <w:color w:val="1732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mcxcb0uuvksu9huvcyqp" Type="http://schemas.openxmlformats.org/officeDocument/2006/relationships/hyperlink" Target="https://talent-atlas.onrender.com/talent" TargetMode="External"/><Relationship Id="rIdpzilff3zeuohkwefurz6u" Type="http://schemas.openxmlformats.org/officeDocument/2006/relationships/hyperlink" Target="https://talent-atlas.onrender.com/journey" TargetMode="External"/><Relationship Id="rIdht5kv6bwaxt3d3yo1hq4y" Type="http://schemas.openxmlformats.org/officeDocument/2006/relationships/hyperlink" Target="https://arxiv.org/abs/2005.11401" TargetMode="External"/><Relationship Id="rIdtuknp2cqwoa07elyduztc" Type="http://schemas.openxmlformats.org/officeDocument/2006/relationships/hyperlink" Target="https://github.com/pgvector/pgvector" TargetMode="External"/><Relationship Id="rIdtqwufj1t9kswcqzukc8ed" Type="http://schemas.openxmlformats.org/officeDocument/2006/relationships/hyperlink" Target="https://huggingface.co/sentence-transformers/all-MiniLM-L6-v2" TargetMode="External"/><Relationship Id="rIdsszf9a0ibgrexg15tjadn" Type="http://schemas.openxmlformats.org/officeDocument/2006/relationships/hyperlink" Target="https://huggingface.co/cross-encoder/ms-marco-MiniLM-L6-v2" TargetMode="External"/><Relationship Id="rId_7zmbrht-noei9mjkc-r4" Type="http://schemas.openxmlformats.org/officeDocument/2006/relationships/hyperlink" Target="https://cormack.uwaterloo.ca/cormacksigir09-rrf.pdf" TargetMode="External"/><Relationship Id="rId2_inkkjconbcw53_acsfb" Type="http://schemas.openxmlformats.org/officeDocument/2006/relationships/hyperlink" Target="https://pydantic.dev/docs/ai/models/overview/" TargetMode="External"/><Relationship Id="rIdzgwjzverxnic37dplbkti" Type="http://schemas.openxmlformats.org/officeDocument/2006/relationships/hyperlink" Target="https://langfuse.com/docs/observability/overview" TargetMode="External"/><Relationship Id="rIdv_lmgq6vchdkus_fsbw7q" Type="http://schemas.openxmlformats.org/officeDocument/2006/relationships/hyperlink" Target="https://talent-atlas.onrender.com/journey" TargetMode="External"/><Relationship Id="rIdnbakoizadwp72sslokeve" Type="http://schemas.openxmlformats.org/officeDocument/2006/relationships/hyperlink" Target="https://github.com/pylrn/hybrid-search" TargetMode="External"/><Relationship Id="rIdh7lobpjehil9teflirci5" Type="http://schemas.openxmlformats.org/officeDocument/2006/relationships/hyperlink" Target="https://talent-atlas.onrender.com/talent" TargetMode="External"/><Relationship Id="rId9" Type="http://schemas.openxmlformats.org/officeDocument/2006/relationships/image" Target="media/21557477fd0e2cefb6c0830596ac2743f809f367.png"/><Relationship Id="rId10" Type="http://schemas.openxmlformats.org/officeDocument/2006/relationships/image" Target="media/add374c4fb88a5c80cd47e14c7f2726d8df42500.png"/><Relationship Id="rId11" Type="http://schemas.openxmlformats.org/officeDocument/2006/relationships/image" Target="media/539161912db2d91e7b1efa9ad52f813f25ec8a6e.png"/><Relationship Id="rId12" Type="http://schemas.openxmlformats.org/officeDocument/2006/relationships/image" Target="media/b5aa343555e5c44a9c89e41835569389d9a814b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Talent Atlas: An Evidence-Grounded Hybrid RAG Search System</dc:title>
  <dc:creator>Straatix Talent Atlas</dc:creator>
  <dc:description>Engineering whitepaper covering the Talent Atlas hybrid retrieval, ranking, agent and observability architecture.</dc:description>
  <cp:lastModifiedBy>Un-named</cp:lastModifiedBy>
  <cp:revision>1</cp:revision>
  <dcterms:created xsi:type="dcterms:W3CDTF">2026-09-08T18:33:04.856Z</dcterms:created>
  <dcterms:modified xsi:type="dcterms:W3CDTF">2026-09-08T18:33:04.860Z</dcterms:modified>
</cp:coreProperties>
</file>

<file path=docProps/custom.xml><?xml version="1.0" encoding="utf-8"?>
<Properties xmlns="http://schemas.openxmlformats.org/officeDocument/2006/custom-properties" xmlns:vt="http://schemas.openxmlformats.org/officeDocument/2006/docPropsVTypes"/>
</file>