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2BBB" w14:textId="77777777" w:rsidR="003809A1" w:rsidRPr="003809A1" w:rsidRDefault="003809A1" w:rsidP="003809A1">
      <w:r w:rsidRPr="003809A1">
        <w:t>价值投资者投资流程的四大步骤：</w:t>
      </w:r>
      <w:r w:rsidRPr="003809A1">
        <w:rPr>
          <w:b/>
          <w:bCs/>
        </w:rPr>
        <w:t>专业化筛选→ 三要素估值 → 深度研究验证 → 安全边际+分散化持仓。</w:t>
      </w:r>
      <w:r w:rsidRPr="003809A1">
        <w:t>贯穿始终：利用市场非理性，规避自身行为偏差，坚守“本金安全”第一原则。</w:t>
      </w:r>
    </w:p>
    <w:p w14:paraId="7BC769A4" w14:textId="77777777" w:rsidR="003809A1" w:rsidRPr="003809A1" w:rsidRDefault="003809A1" w:rsidP="003809A1">
      <w:r w:rsidRPr="003809A1">
        <w:rPr>
          <w:b/>
          <w:bCs/>
        </w:rPr>
        <w:t>第一步：寻找价值——专业化与逆向思维</w:t>
      </w:r>
    </w:p>
    <w:p w14:paraId="2C2CA813" w14:textId="77777777" w:rsidR="003809A1" w:rsidRPr="003809A1" w:rsidRDefault="003809A1" w:rsidP="003809A1">
      <w:r w:rsidRPr="003809A1">
        <w:rPr>
          <w:b/>
          <w:bCs/>
        </w:rPr>
        <w:t>（1）专业思维</w:t>
      </w:r>
    </w:p>
    <w:p w14:paraId="48389F2B" w14:textId="77777777" w:rsidR="003809A1" w:rsidRPr="003809A1" w:rsidRDefault="003809A1" w:rsidP="003809A1">
      <w:r w:rsidRPr="003809A1">
        <w:t>投资者应走专业化道路，是寻找投资机会的高效策略关键因素。建立专业化是由内而外，在特定行业/领域深耕（至少1000小时积累），并以特定狭窄领域为起点逐步扩展，建立深度认知与专家网络。能力圈是由外向内，排除超出理解范围的机会，对入门投资者建立专业化更有效。</w:t>
      </w:r>
    </w:p>
    <w:p w14:paraId="3F3F0C4A" w14:textId="77777777" w:rsidR="003809A1" w:rsidRPr="003809A1" w:rsidRDefault="003809A1" w:rsidP="003809A1">
      <w:r w:rsidRPr="003809A1">
        <w:rPr>
          <w:b/>
          <w:bCs/>
        </w:rPr>
        <w:t>（2）逆向思维</w:t>
      </w:r>
    </w:p>
    <w:p w14:paraId="70C73A49" w14:textId="77777777" w:rsidR="003809A1" w:rsidRPr="003809A1" w:rsidRDefault="003809A1" w:rsidP="003809A1">
      <w:r w:rsidRPr="003809A1">
        <w:t>关注“不受欢迎”领域：财务困境、行业衰退、产能过剩等被市场过度抛售的标的。投资者过度反应抛售股票时，消息灵通的投资者可能发现机会。关键问题：</w:t>
      </w:r>
      <w:proofErr w:type="gramStart"/>
      <w:r w:rsidRPr="003809A1">
        <w:t>为何机会</w:t>
      </w:r>
      <w:proofErr w:type="gramEnd"/>
      <w:r w:rsidRPr="003809A1">
        <w:t>存在？需验证市场误判或自身认知优势。</w:t>
      </w:r>
    </w:p>
    <w:p w14:paraId="261406B2" w14:textId="77777777" w:rsidR="003809A1" w:rsidRPr="003809A1" w:rsidRDefault="003809A1" w:rsidP="003809A1">
      <w:r w:rsidRPr="003809A1">
        <w:rPr>
          <w:b/>
          <w:bCs/>
        </w:rPr>
        <w:t>第二步：估值——三要素框架</w:t>
      </w:r>
    </w:p>
    <w:p w14:paraId="69519E06" w14:textId="77777777" w:rsidR="003809A1" w:rsidRPr="003809A1" w:rsidRDefault="003809A1" w:rsidP="003809A1">
      <w:r w:rsidRPr="003809A1">
        <w:t>净现值是现在和未来现金流总和，考虑货币时间价值。理论正确但有缺陷，忽略资产负债表信息，混同不同质量信息，依赖对遥远未来的准确估计。</w:t>
      </w:r>
      <w:proofErr w:type="gramStart"/>
      <w:r w:rsidRPr="003809A1">
        <w:rPr>
          <w:b/>
          <w:bCs/>
        </w:rPr>
        <w:t>故现代</w:t>
      </w:r>
      <w:proofErr w:type="gramEnd"/>
      <w:r w:rsidRPr="003809A1">
        <w:rPr>
          <w:b/>
          <w:bCs/>
        </w:rPr>
        <w:t>价值投资者们构建了“三要素估值方法”：</w:t>
      </w:r>
    </w:p>
    <w:p w14:paraId="7B283154" w14:textId="77777777" w:rsidR="003809A1" w:rsidRPr="003809A1" w:rsidRDefault="003809A1" w:rsidP="003809A1">
      <w:r w:rsidRPr="003809A1">
        <w:rPr>
          <w:b/>
          <w:bCs/>
        </w:rPr>
        <w:t>（1）资产价值（最可靠）</w:t>
      </w:r>
    </w:p>
    <w:p w14:paraId="4FF96BF6" w14:textId="77777777" w:rsidR="003809A1" w:rsidRPr="003809A1" w:rsidRDefault="003809A1" w:rsidP="003809A1">
      <w:r w:rsidRPr="003809A1">
        <w:t>资产负债表是可靠估值信息，需调整科目账面价值，考虑表外资产和负债。根据企业情况按清算价值或重置价值估值。清算价值适用于濒危企业，专用资产可能大幅折价。重置价值，是在持续经营假设下，以资产再生产成本为核心。</w:t>
      </w:r>
    </w:p>
    <w:p w14:paraId="2EAF8D5E" w14:textId="77777777" w:rsidR="003809A1" w:rsidRPr="003809A1" w:rsidRDefault="003809A1" w:rsidP="003809A1">
      <w:r w:rsidRPr="003809A1">
        <w:rPr>
          <w:b/>
          <w:bCs/>
        </w:rPr>
        <w:t>（2）盈利能力价值（次可靠）</w:t>
      </w:r>
    </w:p>
    <w:p w14:paraId="1FCF1030" w14:textId="77777777" w:rsidR="003809A1" w:rsidRPr="003809A1" w:rsidRDefault="003809A1" w:rsidP="003809A1">
      <w:r w:rsidRPr="003809A1">
        <w:t>基于当前盈利适当调整，假设盈利和资本成本不变，无增长和萎缩。剔除一次性费用、修正折旧偏差、平滑周期波动。还需考虑非核心业务资产和负债。</w:t>
      </w:r>
    </w:p>
    <w:p w14:paraId="65ACCE63" w14:textId="77777777" w:rsidR="003809A1" w:rsidRPr="003809A1" w:rsidRDefault="003809A1" w:rsidP="003809A1">
      <w:r w:rsidRPr="003809A1">
        <w:t>盈利能力价值 = 可持续盈利 / 资本成本，需加减非核心资产/负债。</w:t>
      </w:r>
    </w:p>
    <w:p w14:paraId="31769AB6" w14:textId="77777777" w:rsidR="003809A1" w:rsidRPr="003809A1" w:rsidRDefault="003809A1" w:rsidP="003809A1">
      <w:r w:rsidRPr="003809A1">
        <w:rPr>
          <w:b/>
          <w:bCs/>
        </w:rPr>
        <w:t>（3）成长价值（高不确定性）</w:t>
      </w:r>
    </w:p>
    <w:p w14:paraId="2E19FD6D" w14:textId="77777777" w:rsidR="003809A1" w:rsidRPr="003809A1" w:rsidRDefault="003809A1" w:rsidP="003809A1">
      <w:r w:rsidRPr="003809A1">
        <w:t>企业成长不确定性是净现值法估值出错主因。仅当回报率＞资本成本时成长创造价值，需经济特许权（护城河）支撑。三类情形：A类（资产＞盈利）：管理层低效，需催化改善；B类（资产≈盈利）：竞争性市场，关注经营效率；C类（盈利＞资产）：护城河存在，成长具价值。</w:t>
      </w:r>
    </w:p>
    <w:p w14:paraId="361C191D" w14:textId="77777777" w:rsidR="003809A1" w:rsidRPr="003809A1" w:rsidRDefault="003809A1" w:rsidP="003809A1">
      <w:r w:rsidRPr="003809A1">
        <w:rPr>
          <w:b/>
          <w:bCs/>
        </w:rPr>
        <w:t>（4）估值的战略维度</w:t>
      </w:r>
    </w:p>
    <w:p w14:paraId="6EFC3131" w14:textId="77777777" w:rsidR="003809A1" w:rsidRPr="003809A1" w:rsidRDefault="003809A1" w:rsidP="003809A1">
      <w:r w:rsidRPr="003809A1">
        <w:lastRenderedPageBreak/>
        <w:t>格雷厄姆和多德估值方法分资产价值、盈利能力价值和总价值。资产价值最可靠，盈利能力价值次之，总价值包含成长价值。根据资产价值和盈利能力价值比较结果，分析企业战略处境和投资关键因素。</w:t>
      </w:r>
    </w:p>
    <w:p w14:paraId="5BF825D3" w14:textId="77777777" w:rsidR="003809A1" w:rsidRPr="003809A1" w:rsidRDefault="003809A1" w:rsidP="003809A1">
      <w:r w:rsidRPr="003809A1">
        <w:rPr>
          <w:b/>
          <w:bCs/>
        </w:rPr>
        <w:t>第三步：研究策略——直接与间接信息结合</w:t>
      </w:r>
    </w:p>
    <w:p w14:paraId="59D007C3" w14:textId="77777777" w:rsidR="003809A1" w:rsidRPr="003809A1" w:rsidRDefault="003809A1" w:rsidP="003809A1">
      <w:r w:rsidRPr="003809A1">
        <w:rPr>
          <w:b/>
          <w:bCs/>
        </w:rPr>
        <w:t>（1）间接信息</w:t>
      </w:r>
    </w:p>
    <w:p w14:paraId="1CC6A433" w14:textId="77777777" w:rsidR="003809A1" w:rsidRPr="003809A1" w:rsidRDefault="003809A1" w:rsidP="003809A1">
      <w:r w:rsidRPr="003809A1">
        <w:rPr>
          <w:b/>
          <w:bCs/>
        </w:rPr>
        <w:t>著名投资者：</w:t>
      </w:r>
      <w:r w:rsidRPr="003809A1">
        <w:t>跟踪其持仓，但信息可能不及时且会犯错，应关注其专业成功领域。</w:t>
      </w:r>
    </w:p>
    <w:p w14:paraId="0B9602A3" w14:textId="77777777" w:rsidR="003809A1" w:rsidRPr="003809A1" w:rsidRDefault="003809A1" w:rsidP="003809A1">
      <w:r w:rsidRPr="003809A1">
        <w:rPr>
          <w:b/>
          <w:bCs/>
        </w:rPr>
        <w:t>公司内部人：</w:t>
      </w:r>
      <w:r w:rsidRPr="003809A1">
        <w:t>董事和管理层买卖证券需披露，内部人买入可能因股价低估。</w:t>
      </w:r>
    </w:p>
    <w:p w14:paraId="14EFCCFB" w14:textId="77777777" w:rsidR="003809A1" w:rsidRPr="003809A1" w:rsidRDefault="003809A1" w:rsidP="003809A1">
      <w:r w:rsidRPr="003809A1">
        <w:rPr>
          <w:b/>
          <w:bCs/>
        </w:rPr>
        <w:t>人际网络：</w:t>
      </w:r>
      <w:r w:rsidRPr="003809A1">
        <w:t>搭建互补投资者网络，是有效完整研究流程关键。</w:t>
      </w:r>
    </w:p>
    <w:p w14:paraId="4E9781A4" w14:textId="77777777" w:rsidR="003809A1" w:rsidRPr="003809A1" w:rsidRDefault="003809A1" w:rsidP="003809A1">
      <w:r w:rsidRPr="003809A1">
        <w:rPr>
          <w:b/>
          <w:bCs/>
        </w:rPr>
        <w:t>市场一致认知：</w:t>
      </w:r>
      <w:r w:rsidRPr="003809A1">
        <w:t>辨别过度乐观/悲观，发现不同看法；不盲目随大流，避免羊群效应。</w:t>
      </w:r>
    </w:p>
    <w:p w14:paraId="25553CDB" w14:textId="77777777" w:rsidR="003809A1" w:rsidRPr="003809A1" w:rsidRDefault="003809A1" w:rsidP="003809A1">
      <w:r w:rsidRPr="003809A1">
        <w:rPr>
          <w:b/>
          <w:bCs/>
        </w:rPr>
        <w:t>审视自身过往行为：</w:t>
      </w:r>
      <w:r w:rsidRPr="003809A1">
        <w:t>保存决策记录，定期审视，避免重复犯错，克服认知偏差。</w:t>
      </w:r>
    </w:p>
    <w:p w14:paraId="520C73F3" w14:textId="77777777" w:rsidR="003809A1" w:rsidRPr="003809A1" w:rsidRDefault="003809A1" w:rsidP="003809A1">
      <w:r w:rsidRPr="003809A1">
        <w:rPr>
          <w:b/>
          <w:bCs/>
        </w:rPr>
        <w:t>（2）直接信息</w:t>
      </w:r>
    </w:p>
    <w:p w14:paraId="42C91BAD" w14:textId="77777777" w:rsidR="003809A1" w:rsidRPr="003809A1" w:rsidRDefault="003809A1" w:rsidP="003809A1">
      <w:r w:rsidRPr="003809A1">
        <w:rPr>
          <w:b/>
          <w:bCs/>
        </w:rPr>
        <w:t>无护城河企业：</w:t>
      </w:r>
      <w:r w:rsidRPr="003809A1">
        <w:t>研究应聚焦当前资产价值与盈利能力价值，忽略短期增长噪音。</w:t>
      </w:r>
    </w:p>
    <w:p w14:paraId="383792FD" w14:textId="77777777" w:rsidR="003809A1" w:rsidRPr="003809A1" w:rsidRDefault="003809A1" w:rsidP="003809A1">
      <w:r w:rsidRPr="003809A1">
        <w:rPr>
          <w:b/>
          <w:bCs/>
        </w:rPr>
        <w:t>有护城河企业：</w:t>
      </w:r>
      <w:r w:rsidRPr="003809A1">
        <w:t>成长重要，首要确认进入壁垒保护程度（技术/规模/客户锁定），深入理解生意，研究行业财务业绩，再聚焦估值关键要素。</w:t>
      </w:r>
    </w:p>
    <w:p w14:paraId="470ED744" w14:textId="77777777" w:rsidR="003809A1" w:rsidRPr="003809A1" w:rsidRDefault="003809A1" w:rsidP="003809A1">
      <w:r w:rsidRPr="003809A1">
        <w:rPr>
          <w:b/>
          <w:bCs/>
        </w:rPr>
        <w:t>管理层评估四维度：</w:t>
      </w:r>
      <w:r w:rsidRPr="003809A1">
        <w:t>成长需有竞争优势或出色经营。1经营效率（成本控制、渐进改进）；2成长战略（仅投资回报＞资本的项目）；3资本配置（高分红/回购优于盲目扩张）；4人才梯队（继任计划稳定性）。</w:t>
      </w:r>
    </w:p>
    <w:p w14:paraId="1F652000" w14:textId="77777777" w:rsidR="003809A1" w:rsidRPr="003809A1" w:rsidRDefault="003809A1" w:rsidP="003809A1">
      <w:r w:rsidRPr="003809A1">
        <w:rPr>
          <w:b/>
          <w:bCs/>
        </w:rPr>
        <w:t>催化剂辩证看待：</w:t>
      </w:r>
      <w:r w:rsidRPr="003809A1">
        <w:t>避免糟糕管理层，好管理层下催化剂非必要，糟糕管理层下催化剂关键</w:t>
      </w:r>
    </w:p>
    <w:p w14:paraId="058960BE" w14:textId="77777777" w:rsidR="003809A1" w:rsidRPr="003809A1" w:rsidRDefault="003809A1" w:rsidP="003809A1">
      <w:r w:rsidRPr="003809A1">
        <w:rPr>
          <w:b/>
          <w:bCs/>
        </w:rPr>
        <w:t>第四步：风险管理——永久性减损防控</w:t>
      </w:r>
    </w:p>
    <w:p w14:paraId="02510A1B" w14:textId="77777777" w:rsidR="003809A1" w:rsidRPr="003809A1" w:rsidRDefault="003809A1" w:rsidP="003809A1">
      <w:r w:rsidRPr="003809A1">
        <w:rPr>
          <w:b/>
          <w:bCs/>
        </w:rPr>
        <w:t>（1）风险来源</w:t>
      </w:r>
    </w:p>
    <w:p w14:paraId="79FD604F" w14:textId="77777777" w:rsidR="003809A1" w:rsidRPr="003809A1" w:rsidRDefault="003809A1" w:rsidP="003809A1">
      <w:r w:rsidRPr="003809A1">
        <w:t>格雷厄姆认为风险是 “永久性资本减损” 可能性，包括为高价买入（安全边际不足）或过度杠杆（被迫平仓）两种情形。避免买贵，需理智搜寻和安全边际；避免过高杠杆需合理债务水平和避免保证金债务。</w:t>
      </w:r>
    </w:p>
    <w:p w14:paraId="0864A0E1" w14:textId="77777777" w:rsidR="003809A1" w:rsidRPr="003809A1" w:rsidRDefault="003809A1" w:rsidP="003809A1">
      <w:r w:rsidRPr="003809A1">
        <w:rPr>
          <w:b/>
          <w:bCs/>
        </w:rPr>
        <w:t>（2）风险控制</w:t>
      </w:r>
    </w:p>
    <w:p w14:paraId="177C8A9E" w14:textId="77777777" w:rsidR="003809A1" w:rsidRPr="003809A1" w:rsidRDefault="003809A1" w:rsidP="003809A1">
      <w:r w:rsidRPr="003809A1">
        <w:rPr>
          <w:b/>
          <w:bCs/>
        </w:rPr>
        <w:t>非系统性风险：</w:t>
      </w:r>
      <w:r w:rsidRPr="003809A1">
        <w:t>包括行业公司层面和事件驱动型风险，可通过持有 30 只适当分散的证券降低。</w:t>
      </w:r>
    </w:p>
    <w:p w14:paraId="1FDE8FB0" w14:textId="77777777" w:rsidR="003809A1" w:rsidRPr="003809A1" w:rsidRDefault="003809A1" w:rsidP="003809A1">
      <w:r w:rsidRPr="003809A1">
        <w:rPr>
          <w:b/>
          <w:bCs/>
        </w:rPr>
        <w:t>系统性风险：</w:t>
      </w:r>
      <w:r w:rsidRPr="003809A1">
        <w:t>来自整体经济和金融市场，可能导致长期估值下跌，需全球分散化投资。不同资产在通胀和通</w:t>
      </w:r>
      <w:proofErr w:type="gramStart"/>
      <w:r w:rsidRPr="003809A1">
        <w:t>缩环境</w:t>
      </w:r>
      <w:proofErr w:type="gramEnd"/>
      <w:r w:rsidRPr="003809A1">
        <w:t>表现不同，价值投资者自下而上选择投资资产，根据情况调整</w:t>
      </w:r>
      <w:proofErr w:type="gramStart"/>
      <w:r w:rsidRPr="003809A1">
        <w:t>仓位</w:t>
      </w:r>
      <w:proofErr w:type="gramEnd"/>
      <w:r w:rsidRPr="003809A1">
        <w:t>。</w:t>
      </w:r>
    </w:p>
    <w:p w14:paraId="383B26EF" w14:textId="77777777" w:rsidR="003809A1" w:rsidRPr="003809A1" w:rsidRDefault="003809A1" w:rsidP="003809A1">
      <w:r w:rsidRPr="003809A1">
        <w:rPr>
          <w:b/>
          <w:bCs/>
        </w:rPr>
        <w:lastRenderedPageBreak/>
        <w:t>投资者行为风险：</w:t>
      </w:r>
      <w:r w:rsidRPr="003809A1">
        <w:t>市场火热时抵御诱惑，提前规划现金与证券配置。</w:t>
      </w:r>
      <w:proofErr w:type="gramStart"/>
      <w:r w:rsidRPr="003809A1">
        <w:t>组合再</w:t>
      </w:r>
      <w:proofErr w:type="gramEnd"/>
      <w:r w:rsidRPr="003809A1">
        <w:t>平衡可中和追涨杀跌倾向，提升组合回报 。</w:t>
      </w:r>
    </w:p>
    <w:p w14:paraId="50516A0D" w14:textId="77777777" w:rsidR="003809A1" w:rsidRPr="003809A1" w:rsidRDefault="003809A1" w:rsidP="003809A1">
      <w:r w:rsidRPr="003809A1">
        <w:rPr>
          <w:b/>
          <w:bCs/>
        </w:rPr>
        <w:t>（3）资产配置</w:t>
      </w:r>
    </w:p>
    <w:p w14:paraId="5E5E5CA6" w14:textId="77777777" w:rsidR="003809A1" w:rsidRPr="003809A1" w:rsidRDefault="003809A1" w:rsidP="003809A1">
      <w:r w:rsidRPr="003809A1">
        <w:rPr>
          <w:b/>
          <w:bCs/>
        </w:rPr>
        <w:t>通缩：</w:t>
      </w:r>
      <w:r w:rsidRPr="003809A1">
        <w:t>增持固定收益资产；</w:t>
      </w:r>
    </w:p>
    <w:p w14:paraId="651523AB" w14:textId="77777777" w:rsidR="003809A1" w:rsidRPr="003809A1" w:rsidRDefault="003809A1" w:rsidP="003809A1">
      <w:r w:rsidRPr="003809A1">
        <w:rPr>
          <w:b/>
          <w:bCs/>
        </w:rPr>
        <w:t>通胀：</w:t>
      </w:r>
      <w:r w:rsidRPr="003809A1">
        <w:t>增持实物资产/特许经营权企业。</w:t>
      </w:r>
    </w:p>
    <w:p w14:paraId="77064F61" w14:textId="77777777" w:rsidR="003809A1" w:rsidRPr="003809A1" w:rsidRDefault="003809A1" w:rsidP="003809A1">
      <w:r w:rsidRPr="003809A1">
        <w:rPr>
          <w:b/>
          <w:bCs/>
        </w:rPr>
        <w:t>行为纪律：</w:t>
      </w:r>
      <w:r w:rsidRPr="003809A1">
        <w:t>定期再平衡组合，避免追涨杀跌。</w:t>
      </w:r>
    </w:p>
    <w:p w14:paraId="48202A88" w14:textId="77777777" w:rsidR="003809A1" w:rsidRPr="003809A1" w:rsidRDefault="003809A1" w:rsidP="003809A1">
      <w:r w:rsidRPr="003809A1">
        <w:rPr>
          <w:b/>
          <w:bCs/>
        </w:rPr>
        <w:t>最终目标得出一个能经受跨周期，多情境考验的有韧性的结论。</w:t>
      </w:r>
    </w:p>
    <w:p w14:paraId="367F179D" w14:textId="77777777" w:rsidR="003809A1" w:rsidRDefault="003809A1"/>
    <w:sectPr w:rsidR="00380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A1"/>
    <w:rsid w:val="003809A1"/>
    <w:rsid w:val="00F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2D73"/>
  <w15:chartTrackingRefBased/>
  <w15:docId w15:val="{4984D64C-1DDF-495A-91C0-9F0E67B6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9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9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9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9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9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9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9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9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9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09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9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9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9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9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9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9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9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2025-04-20T13:31:00Z</dcterms:created>
  <dcterms:modified xsi:type="dcterms:W3CDTF">2025-04-20T13:31:00Z</dcterms:modified>
</cp:coreProperties>
</file>