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293C" w14:textId="77777777" w:rsidR="00652FD0" w:rsidRDefault="00652FD0" w:rsidP="00652FD0"/>
    <w:p w14:paraId="2B968E4A" w14:textId="49F82A0E" w:rsidR="00652FD0" w:rsidRPr="00652FD0" w:rsidRDefault="00652FD0" w:rsidP="00652FD0">
      <w:pPr>
        <w:rPr>
          <w:b/>
          <w:bCs/>
        </w:rPr>
      </w:pPr>
      <w:r w:rsidRPr="00652FD0">
        <w:rPr>
          <w:b/>
          <w:bCs/>
        </w:rPr>
        <w:t>巴菲特之道（第3版）深度分析报告</w:t>
      </w:r>
    </w:p>
    <w:p w14:paraId="49DD7CFB" w14:textId="77777777" w:rsidR="00652FD0" w:rsidRPr="00652FD0" w:rsidRDefault="00652FD0" w:rsidP="00652FD0">
      <w:pPr>
        <w:rPr>
          <w:b/>
          <w:bCs/>
        </w:rPr>
      </w:pPr>
      <w:r w:rsidRPr="00652FD0">
        <w:rPr>
          <w:b/>
          <w:bCs/>
        </w:rPr>
        <w:t>书籍核心内容总结</w:t>
      </w:r>
    </w:p>
    <w:p w14:paraId="511089B1" w14:textId="77777777" w:rsidR="00652FD0" w:rsidRPr="00652FD0" w:rsidRDefault="00652FD0" w:rsidP="00652FD0">
      <w:r w:rsidRPr="00652FD0">
        <w:t>《巴菲特之道（原书第3版）》系统阐述了价值投资的精髓，聚焦于沃伦·巴菲特作为投资大师所遵循的原则和方法。作者罗伯特·哈格斯特朗将巴菲特数十年的投资经验提炼为</w:t>
      </w:r>
      <w:r w:rsidRPr="00652FD0">
        <w:rPr>
          <w:b/>
          <w:bCs/>
        </w:rPr>
        <w:t>四大类12条投资准则</w:t>
      </w:r>
      <w:r w:rsidRPr="00652FD0">
        <w:t>，从企业业务特质到管理层素质、财务表现，再到价值评估，一一解码巴菲特的选股逻辑。书中首先介绍了巴菲特的生平及理念渊源：他的思想深受导师本杰明·格雷厄姆的影响，秉承“</w:t>
      </w:r>
      <w:r w:rsidRPr="00652FD0">
        <w:rPr>
          <w:b/>
          <w:bCs/>
        </w:rPr>
        <w:t>内在价值</w:t>
      </w:r>
      <w:r w:rsidRPr="00652FD0">
        <w:t>”和“</w:t>
      </w:r>
      <w:r w:rsidRPr="00652FD0">
        <w:rPr>
          <w:b/>
          <w:bCs/>
        </w:rPr>
        <w:t>安全边际</w:t>
      </w:r>
      <w:r w:rsidRPr="00652FD0">
        <w:t>”原则，同时融合菲利普·费雪和查理·芒格的理念，更加注重企业品质和长期增长潜力。这种理念转变使巴菲特从纯粹追求低估值的“烟蒂股”，转向</w:t>
      </w:r>
      <w:r w:rsidRPr="00652FD0">
        <w:rPr>
          <w:b/>
          <w:bCs/>
        </w:rPr>
        <w:t>买入伟大且公允定价的公司</w:t>
      </w:r>
      <w:r w:rsidRPr="00652FD0">
        <w:t>，即</w:t>
      </w:r>
      <w:r w:rsidRPr="00652FD0">
        <w:rPr>
          <w:b/>
          <w:bCs/>
        </w:rPr>
        <w:t>愿意为卓越企业支付合理价格</w:t>
      </w:r>
      <w:r w:rsidRPr="00652FD0">
        <w:t>，而非一味压低买价。</w:t>
      </w:r>
    </w:p>
    <w:p w14:paraId="027F2358" w14:textId="77777777" w:rsidR="00652FD0" w:rsidRPr="00652FD0" w:rsidRDefault="00652FD0" w:rsidP="00652FD0">
      <w:r w:rsidRPr="00652FD0">
        <w:t>作为对价值投资理论的实践，书中</w:t>
      </w:r>
      <w:r w:rsidRPr="00652FD0">
        <w:rPr>
          <w:b/>
          <w:bCs/>
        </w:rPr>
        <w:t>明确了投资分析的逻辑步骤</w:t>
      </w:r>
      <w:r w:rsidRPr="00652FD0">
        <w:t>：第一，</w:t>
      </w:r>
      <w:r w:rsidRPr="00652FD0">
        <w:rPr>
          <w:b/>
          <w:bCs/>
        </w:rPr>
        <w:t>把股票当作</w:t>
      </w:r>
      <w:proofErr w:type="gramStart"/>
      <w:r w:rsidRPr="00652FD0">
        <w:rPr>
          <w:b/>
          <w:bCs/>
        </w:rPr>
        <w:t>一</w:t>
      </w:r>
      <w:proofErr w:type="gramEnd"/>
      <w:r w:rsidRPr="00652FD0">
        <w:rPr>
          <w:b/>
          <w:bCs/>
        </w:rPr>
        <w:t>门生意来看待</w:t>
      </w:r>
      <w:r w:rsidRPr="00652FD0">
        <w:t>，只选择自己懂的好公司；第二，</w:t>
      </w:r>
      <w:r w:rsidRPr="00652FD0">
        <w:rPr>
          <w:b/>
          <w:bCs/>
        </w:rPr>
        <w:t>评估公司内在价值</w:t>
      </w:r>
      <w:r w:rsidRPr="00652FD0">
        <w:t>，即根据未来现金流贴现求出其真实价值；第三，</w:t>
      </w:r>
      <w:r w:rsidRPr="00652FD0">
        <w:rPr>
          <w:b/>
          <w:bCs/>
        </w:rPr>
        <w:t>比较内在价值和市场价格</w:t>
      </w:r>
      <w:r w:rsidRPr="00652FD0">
        <w:t>，坚持在价格大幅低于价值时才买入（留下安全边际）；第四，</w:t>
      </w:r>
      <w:r w:rsidRPr="00652FD0">
        <w:rPr>
          <w:b/>
          <w:bCs/>
        </w:rPr>
        <w:t>长期持有耐心等待</w:t>
      </w:r>
      <w:r w:rsidRPr="00652FD0">
        <w:t>，直到市场价格回归或超出内在价值再卖出。这四步循环正是巴菲特取得超额收益的基本逻辑。书中通过详实的案例展示了这些原则的应用：包括</w:t>
      </w:r>
      <w:r w:rsidRPr="00652FD0">
        <w:rPr>
          <w:b/>
          <w:bCs/>
        </w:rPr>
        <w:t>华盛顿邮报</w:t>
      </w:r>
      <w:r w:rsidRPr="00652FD0">
        <w:t>、</w:t>
      </w:r>
      <w:r w:rsidRPr="00652FD0">
        <w:rPr>
          <w:b/>
          <w:bCs/>
        </w:rPr>
        <w:t>GEICO保险</w:t>
      </w:r>
      <w:r w:rsidRPr="00652FD0">
        <w:t>、</w:t>
      </w:r>
      <w:r w:rsidRPr="00652FD0">
        <w:rPr>
          <w:b/>
          <w:bCs/>
        </w:rPr>
        <w:t>ABC卡普城/迪士尼</w:t>
      </w:r>
      <w:r w:rsidRPr="00652FD0">
        <w:t>、</w:t>
      </w:r>
      <w:r w:rsidRPr="00652FD0">
        <w:rPr>
          <w:b/>
          <w:bCs/>
        </w:rPr>
        <w:t>可口可乐</w:t>
      </w:r>
      <w:r w:rsidRPr="00652FD0">
        <w:t>、</w:t>
      </w:r>
      <w:r w:rsidRPr="00652FD0">
        <w:rPr>
          <w:b/>
          <w:bCs/>
        </w:rPr>
        <w:t>通用动力</w:t>
      </w:r>
      <w:r w:rsidRPr="00652FD0">
        <w:t>、</w:t>
      </w:r>
      <w:r w:rsidRPr="00652FD0">
        <w:rPr>
          <w:b/>
          <w:bCs/>
        </w:rPr>
        <w:t>富国银行</w:t>
      </w:r>
      <w:r w:rsidRPr="00652FD0">
        <w:t>、</w:t>
      </w:r>
      <w:r w:rsidRPr="00652FD0">
        <w:rPr>
          <w:b/>
          <w:bCs/>
        </w:rPr>
        <w:t>美国运通</w:t>
      </w:r>
      <w:r w:rsidRPr="00652FD0">
        <w:t>、</w:t>
      </w:r>
      <w:r w:rsidRPr="00652FD0">
        <w:rPr>
          <w:b/>
          <w:bCs/>
        </w:rPr>
        <w:t>IBM</w:t>
      </w:r>
      <w:r w:rsidRPr="00652FD0">
        <w:t>和</w:t>
      </w:r>
      <w:proofErr w:type="gramStart"/>
      <w:r w:rsidRPr="00652FD0">
        <w:rPr>
          <w:b/>
          <w:bCs/>
        </w:rPr>
        <w:t>亨氏</w:t>
      </w:r>
      <w:proofErr w:type="gramEnd"/>
      <w:r w:rsidRPr="00652FD0">
        <w:t>等九大经典投资案例，每一例都按照上述准则进行剖析。这些案例证明了巴菲特的方法具有普适性：无论传媒、金融还是消费品行业，只要严格遵循**“以合理价格买入优质企业”**的原则，长期</w:t>
      </w:r>
      <w:proofErr w:type="gramStart"/>
      <w:r w:rsidRPr="00652FD0">
        <w:t>来看均</w:t>
      </w:r>
      <w:proofErr w:type="gramEnd"/>
      <w:r w:rsidRPr="00652FD0">
        <w:t>获得了丰厚回报。</w:t>
      </w:r>
    </w:p>
    <w:p w14:paraId="627BAADA" w14:textId="77777777" w:rsidR="00652FD0" w:rsidRPr="00652FD0" w:rsidRDefault="00652FD0" w:rsidP="00652FD0">
      <w:r w:rsidRPr="00652FD0">
        <w:t>除了投资选股方法，本书第5章和第6章进一步探讨了</w:t>
      </w:r>
      <w:r w:rsidRPr="00652FD0">
        <w:rPr>
          <w:b/>
          <w:bCs/>
        </w:rPr>
        <w:t>投资组合管理</w:t>
      </w:r>
      <w:r w:rsidRPr="00652FD0">
        <w:t>和</w:t>
      </w:r>
      <w:r w:rsidRPr="00652FD0">
        <w:rPr>
          <w:b/>
          <w:bCs/>
        </w:rPr>
        <w:t>投资心理</w:t>
      </w:r>
      <w:r w:rsidRPr="00652FD0">
        <w:t>。巴菲特偏好</w:t>
      </w:r>
      <w:r w:rsidRPr="00652FD0">
        <w:rPr>
          <w:b/>
          <w:bCs/>
        </w:rPr>
        <w:t>集中投资</w:t>
      </w:r>
      <w:r w:rsidRPr="00652FD0">
        <w:t>于少数优秀公司，反对盲目分散摊薄收益，这种“重点投资”策略在数学上能够提高组合长期回报率。与此同时，作者借助行为金融学解释了普通投资者为何难以复制巴菲特的成功：诸如“损失厌恶”导致投资者害怕下跌而过早卖出，市场波动诱使人追涨杀跌等。而巴菲特能够</w:t>
      </w:r>
      <w:r w:rsidRPr="00652FD0">
        <w:rPr>
          <w:b/>
          <w:bCs/>
        </w:rPr>
        <w:t>理性对待市场涨跌</w:t>
      </w:r>
      <w:r w:rsidRPr="00652FD0">
        <w:t>，在恐慌时贪婪、亢奋时谨慎，坚持独立思考，这些心理素质与长期视角正是其投资成功的关键。总之，本书核心内容围绕一个主题：</w:t>
      </w:r>
      <w:r w:rsidRPr="00652FD0">
        <w:rPr>
          <w:b/>
          <w:bCs/>
        </w:rPr>
        <w:t>价值投资是一套严谨的分析框架加上良好的心理素养</w:t>
      </w:r>
      <w:r w:rsidRPr="00652FD0">
        <w:t>。读者不仅可以学习到巴菲特精选公司的具体清单和估值方法，还能领会到在充满不确定性的市场中如何保持纪律和耐心，从而真正“像巴菲特一样思考和投资”。</w:t>
      </w:r>
    </w:p>
    <w:p w14:paraId="3D565CC4" w14:textId="77777777" w:rsidR="00652FD0" w:rsidRPr="00652FD0" w:rsidRDefault="00652FD0" w:rsidP="00652FD0">
      <w:pPr>
        <w:rPr>
          <w:b/>
          <w:bCs/>
        </w:rPr>
      </w:pPr>
      <w:r w:rsidRPr="00652FD0">
        <w:rPr>
          <w:b/>
          <w:bCs/>
        </w:rPr>
        <w:t>投资分析的结构化指南</w:t>
      </w:r>
    </w:p>
    <w:p w14:paraId="3531A771" w14:textId="77777777" w:rsidR="00652FD0" w:rsidRPr="00652FD0" w:rsidRDefault="00652FD0" w:rsidP="00652FD0">
      <w:r w:rsidRPr="00652FD0">
        <w:t>基于书中内容，巴菲特的投资分析遵循清晰的结构化流程，每一步都有严密的逻辑支撑：</w:t>
      </w:r>
    </w:p>
    <w:p w14:paraId="4CF16487" w14:textId="77777777" w:rsidR="00652FD0" w:rsidRPr="00652FD0" w:rsidRDefault="00652FD0" w:rsidP="00652FD0">
      <w:r w:rsidRPr="00652FD0">
        <w:rPr>
          <w:b/>
          <w:bCs/>
        </w:rPr>
        <w:t>1. 确定投资标的（圈定能力圈）</w:t>
      </w:r>
      <w:r w:rsidRPr="00652FD0">
        <w:t>：首先只考虑</w:t>
      </w:r>
      <w:r w:rsidRPr="00652FD0">
        <w:rPr>
          <w:b/>
          <w:bCs/>
        </w:rPr>
        <w:t>自己能够看懂的企业</w:t>
      </w:r>
      <w:r w:rsidRPr="00652FD0">
        <w:t>。巴菲特强调投资要在“能力圈”内，聚焦那些</w:t>
      </w:r>
      <w:r w:rsidRPr="00652FD0">
        <w:rPr>
          <w:b/>
          <w:bCs/>
        </w:rPr>
        <w:t>业务简单清晰</w:t>
      </w:r>
      <w:r w:rsidRPr="00652FD0">
        <w:t>且运作模式易于理解的公司。他避开高科技等</w:t>
      </w:r>
      <w:r w:rsidRPr="00652FD0">
        <w:lastRenderedPageBreak/>
        <w:t>复杂行业，即使是知名公司如微软，若不在自己熟悉范围也</w:t>
      </w:r>
      <w:proofErr w:type="gramStart"/>
      <w:r w:rsidRPr="00652FD0">
        <w:t>不</w:t>
      </w:r>
      <w:proofErr w:type="gramEnd"/>
      <w:r w:rsidRPr="00652FD0">
        <w:t>贸然投资。同时，要筛选出</w:t>
      </w:r>
      <w:r w:rsidRPr="00652FD0">
        <w:rPr>
          <w:b/>
          <w:bCs/>
        </w:rPr>
        <w:t>经营历史稳定</w:t>
      </w:r>
      <w:r w:rsidRPr="00652FD0">
        <w:t>的企业——有多年的持续盈利记录，商业模式经过时间考验。经验表明，指望一家业绩不佳的公司突然转好是小概率事件，因此“不碰转机股”也是巴菲</w:t>
      </w:r>
      <w:proofErr w:type="gramStart"/>
      <w:r w:rsidRPr="00652FD0">
        <w:t>特选股</w:t>
      </w:r>
      <w:proofErr w:type="gramEnd"/>
      <w:r w:rsidRPr="00652FD0">
        <w:t>的一大原则。这一阶段的目标是</w:t>
      </w:r>
      <w:r w:rsidRPr="00652FD0">
        <w:rPr>
          <w:b/>
          <w:bCs/>
        </w:rPr>
        <w:t>找到质地优良的候选公司</w:t>
      </w:r>
      <w:r w:rsidRPr="00652FD0">
        <w:t>，满足：（a）业务简单易懂，避免复杂难测；（b）业绩稳健，无剧烈波动；（c）属于投资者熟悉的行业领域。</w:t>
      </w:r>
    </w:p>
    <w:p w14:paraId="63AA7E03" w14:textId="77777777" w:rsidR="00652FD0" w:rsidRPr="00652FD0" w:rsidRDefault="00652FD0" w:rsidP="00652FD0">
      <w:r w:rsidRPr="00652FD0">
        <w:rPr>
          <w:b/>
          <w:bCs/>
        </w:rPr>
        <w:t>2. 评估企业护城河（长期竞争优势）</w:t>
      </w:r>
      <w:r w:rsidRPr="00652FD0">
        <w:t>：在确定企业基本稳健后，深入分析其</w:t>
      </w:r>
      <w:r w:rsidRPr="00652FD0">
        <w:rPr>
          <w:b/>
          <w:bCs/>
        </w:rPr>
        <w:t>长期前景</w:t>
      </w:r>
      <w:r w:rsidRPr="00652FD0">
        <w:t>，即所谓</w:t>
      </w:r>
      <w:r w:rsidRPr="00652FD0">
        <w:rPr>
          <w:b/>
          <w:bCs/>
        </w:rPr>
        <w:t>经济护城河</w:t>
      </w:r>
      <w:r w:rsidRPr="00652FD0">
        <w:t>的宽广程度。巴菲特将公司分为两类：</w:t>
      </w:r>
      <w:r w:rsidRPr="00652FD0">
        <w:rPr>
          <w:b/>
          <w:bCs/>
        </w:rPr>
        <w:t>拥有特许经营权的伟大企业</w:t>
      </w:r>
      <w:r w:rsidRPr="00652FD0">
        <w:t>和</w:t>
      </w:r>
      <w:r w:rsidRPr="00652FD0">
        <w:rPr>
          <w:b/>
          <w:bCs/>
        </w:rPr>
        <w:t>平庸的普通企业</w:t>
      </w:r>
      <w:r w:rsidRPr="00652FD0">
        <w:t>。前者提供的是大众持续需求且无可替代的产品或服务，并能保持定价权（不受管制），因此具备</w:t>
      </w:r>
      <w:r w:rsidRPr="00652FD0">
        <w:rPr>
          <w:b/>
          <w:bCs/>
        </w:rPr>
        <w:t>持久竞争优势</w:t>
      </w:r>
      <w:r w:rsidRPr="00652FD0">
        <w:t>（</w:t>
      </w:r>
      <w:proofErr w:type="gramStart"/>
      <w:r w:rsidRPr="00652FD0">
        <w:t>如强大</w:t>
      </w:r>
      <w:proofErr w:type="gramEnd"/>
      <w:r w:rsidRPr="00652FD0">
        <w:t>的品牌、网络效应、独家资源等）。这类公司往往具有高壁垒，竞争对手难以侵入，其护城河保证了</w:t>
      </w:r>
      <w:r w:rsidRPr="00652FD0">
        <w:rPr>
          <w:b/>
          <w:bCs/>
        </w:rPr>
        <w:t>良好的长期发展前景</w:t>
      </w:r>
      <w:r w:rsidRPr="00652FD0">
        <w:t>。反之，平庸企业只能提供同质化产品，容易陷入价格战，长期利润率难以提升。因此，第二步要考察：公司的商业模式是否</w:t>
      </w:r>
      <w:r w:rsidRPr="00652FD0">
        <w:rPr>
          <w:b/>
          <w:bCs/>
        </w:rPr>
        <w:t>与众不同</w:t>
      </w:r>
      <w:r w:rsidRPr="00652FD0">
        <w:t>，能否长期保持高需求并抵御竞争？典型例子如可口可乐、吉列（剃须刀）、喜诗糖果等，年复一年卖相同产品且消费者认同度极高，形成了稳固的护城河。只有护城河深厚的企业，才能称得上“伟大”，值得长期投资。</w:t>
      </w:r>
    </w:p>
    <w:p w14:paraId="1EB1134E" w14:textId="77777777" w:rsidR="00652FD0" w:rsidRPr="00652FD0" w:rsidRDefault="00652FD0" w:rsidP="00652FD0">
      <w:r w:rsidRPr="00652FD0">
        <w:rPr>
          <w:b/>
          <w:bCs/>
        </w:rPr>
        <w:t>3. 考察管理层质量</w:t>
      </w:r>
      <w:r w:rsidRPr="00652FD0">
        <w:t>：再优秀的生意，若由糟糕的管理层经营，也难以创造价值。因此巴菲特非常重视</w:t>
      </w:r>
      <w:r w:rsidRPr="00652FD0">
        <w:rPr>
          <w:b/>
          <w:bCs/>
        </w:rPr>
        <w:t>公司高管的品质</w:t>
      </w:r>
      <w:r w:rsidRPr="00652FD0">
        <w:t>。他尤其关注三点：其一，管理层是否</w:t>
      </w:r>
      <w:r w:rsidRPr="00652FD0">
        <w:rPr>
          <w:b/>
          <w:bCs/>
        </w:rPr>
        <w:t>理性地分配利润</w:t>
      </w:r>
      <w:r w:rsidRPr="00652FD0">
        <w:t>。公司赚得的留存盈余可以用于派发股息、回购股票或再投资扩张。一个理性的管理层会权衡哪种方式对股东最有利，而不是盲目追求规模扩张。然而现实中许多CEO热衷用盈余去大举并购扩张帝国版图，巴菲特对这种行为非常警惕。其二，管理层是否</w:t>
      </w:r>
      <w:r w:rsidRPr="00652FD0">
        <w:rPr>
          <w:b/>
          <w:bCs/>
        </w:rPr>
        <w:t>对股东坦诚</w:t>
      </w:r>
      <w:r w:rsidRPr="00652FD0">
        <w:t>。这一方面体现为财务信息披露的透明度，报表不玩财技；另一方面在于愿意公开承认错误而非粉饰太平。巴菲特喜欢那些在致股东信中</w:t>
      </w:r>
      <w:r w:rsidRPr="00652FD0">
        <w:rPr>
          <w:b/>
          <w:bCs/>
        </w:rPr>
        <w:t>直言公司问题</w:t>
      </w:r>
      <w:r w:rsidRPr="00652FD0">
        <w:t>的经理人。其三，管理层能否</w:t>
      </w:r>
      <w:r w:rsidRPr="00652FD0">
        <w:rPr>
          <w:b/>
          <w:bCs/>
        </w:rPr>
        <w:t>抗拒盲从行业惯性</w:t>
      </w:r>
      <w:r w:rsidRPr="00652FD0">
        <w:t>。“制度化惰性”是巴菲特提出的概念，指许多领导人会不加判断地随波逐流，比如照搬竞争对手战略、迎合华尔街短期目标等。优秀的管理层应独立思考，避免仅因为“别人都这么做”就去投资愚蠢项目。有趣的是，巴菲特也提醒：</w:t>
      </w:r>
      <w:r w:rsidRPr="00652FD0">
        <w:rPr>
          <w:b/>
          <w:bCs/>
        </w:rPr>
        <w:t>再好的管理层</w:t>
      </w:r>
      <w:proofErr w:type="gramStart"/>
      <w:r w:rsidRPr="00652FD0">
        <w:rPr>
          <w:b/>
          <w:bCs/>
        </w:rPr>
        <w:t>也难救烂企业</w:t>
      </w:r>
      <w:proofErr w:type="gramEnd"/>
      <w:r w:rsidRPr="00652FD0">
        <w:t>。因此管理层的考察是必要条件但非充分条件——只有在好行业好赛道上，卓越管理才能充分施展并创造价值。</w:t>
      </w:r>
    </w:p>
    <w:p w14:paraId="0A3E657D" w14:textId="77777777" w:rsidR="00652FD0" w:rsidRPr="00652FD0" w:rsidRDefault="00652FD0" w:rsidP="00652FD0">
      <w:r w:rsidRPr="00652FD0">
        <w:rPr>
          <w:b/>
          <w:bCs/>
        </w:rPr>
        <w:t>4. 分析财务表现和估值基础</w:t>
      </w:r>
      <w:r w:rsidRPr="00652FD0">
        <w:t>：接下来进入量化分析阶段，从财务数据判断公司的经济特征，并为估值做准备。巴菲特的财务分析</w:t>
      </w:r>
      <w:r w:rsidRPr="00652FD0">
        <w:rPr>
          <w:b/>
          <w:bCs/>
        </w:rPr>
        <w:t>聚焦在价值创造能力</w:t>
      </w:r>
      <w:r w:rsidRPr="00652FD0">
        <w:t>，而非短期盈余粉饰的指标。首先，他</w:t>
      </w:r>
      <w:r w:rsidRPr="00652FD0">
        <w:rPr>
          <w:b/>
          <w:bCs/>
        </w:rPr>
        <w:t>更重视股东回报率ROE，而非每股收益EPS</w:t>
      </w:r>
      <w:r w:rsidRPr="00652FD0">
        <w:t>。原因在于EPS容易通过会计手段提升（例如股份回购、一次性收益），但</w:t>
      </w:r>
      <w:r w:rsidRPr="00652FD0">
        <w:rPr>
          <w:b/>
          <w:bCs/>
        </w:rPr>
        <w:t>净资产收益率(ROE)可以衡量管理层运用股东资本获取回报的效率。不过也要小心杜邦分析揭示的一点：ROE高也可能来自高杠杆冒险，因此需综合评估债务水平。第二，巴菲特强调计算公司的“股东盈余（Owner Earnings）”。这是他对自由现金流的简化算法：股东盈余 = 当期净利润 + 折旧摊销 – 资本性支出。相对于会计利润，股东盈余更真实地反映企业每年可支配的现金（扣除了维持业务所需的资本开支）</w:t>
      </w:r>
      <w:r w:rsidRPr="00652FD0">
        <w:t>，因此是估算内在价值的核心基础。能否准确</w:t>
      </w:r>
      <w:r w:rsidRPr="00652FD0">
        <w:lastRenderedPageBreak/>
        <w:t>算出股东盈余，直接决定了估值的可靠性。第三，观察</w:t>
      </w:r>
      <w:r w:rsidRPr="00652FD0">
        <w:rPr>
          <w:b/>
          <w:bCs/>
        </w:rPr>
        <w:t>利润率</w:t>
      </w:r>
      <w:r w:rsidRPr="00652FD0">
        <w:t>水平，寻找</w:t>
      </w:r>
      <w:r w:rsidRPr="00652FD0">
        <w:rPr>
          <w:b/>
          <w:bCs/>
        </w:rPr>
        <w:t>高利润率</w:t>
      </w:r>
      <w:r w:rsidRPr="00652FD0">
        <w:t>的企业。持续的高毛利率和净利率通常是伟大企业的特征，说明公司具有强定价权或成本控制能力。巴菲特对那种费用失控、奢侈浪费的管理层没有耐心，他推崇</w:t>
      </w:r>
      <w:proofErr w:type="gramStart"/>
      <w:r w:rsidRPr="00652FD0">
        <w:t>极</w:t>
      </w:r>
      <w:proofErr w:type="gramEnd"/>
      <w:r w:rsidRPr="00652FD0">
        <w:t>简的成本结构（据说伯克希尔总部甚至没有公关部、战略部等冗员）。高利润率还意味着企业在拓展时能产生</w:t>
      </w:r>
      <w:r w:rsidRPr="00652FD0">
        <w:rPr>
          <w:b/>
          <w:bCs/>
        </w:rPr>
        <w:t>更高的边际收益</w:t>
      </w:r>
      <w:r w:rsidRPr="00652FD0">
        <w:t>。第四，运用巴菲特的“一美元原则”检验盈利再投资的效率。</w:t>
      </w:r>
      <w:r w:rsidRPr="00652FD0">
        <w:rPr>
          <w:b/>
          <w:bCs/>
        </w:rPr>
        <w:t>一美元原则</w:t>
      </w:r>
      <w:r w:rsidRPr="00652FD0">
        <w:t>是指：公司每留存1美元利润，至少应创造1美元的市值增长。具体计算方法是，在一个观察期内，将公司市值增长额除以累积留存利润（净利润减去股息）。若得到的比例低于1，说明管理层对留存资金运用不当，未为股东创造足够价值。通过这一系列财务指标，投资者可以判断公司盈利的质量和</w:t>
      </w:r>
      <w:proofErr w:type="gramStart"/>
      <w:r w:rsidRPr="00652FD0">
        <w:t>可</w:t>
      </w:r>
      <w:proofErr w:type="gramEnd"/>
      <w:r w:rsidRPr="00652FD0">
        <w:t>持续性，以及管理层的资本配置成效。</w:t>
      </w:r>
    </w:p>
    <w:p w14:paraId="16C83132" w14:textId="77777777" w:rsidR="00652FD0" w:rsidRPr="00652FD0" w:rsidRDefault="00652FD0" w:rsidP="00652FD0">
      <w:r w:rsidRPr="00652FD0">
        <w:rPr>
          <w:b/>
          <w:bCs/>
        </w:rPr>
        <w:t>5. 估算内在价值，应用安全边际</w:t>
      </w:r>
      <w:r w:rsidRPr="00652FD0">
        <w:t>：有了对业务、管理和财务的全面理解，最后要给公司</w:t>
      </w:r>
      <w:r w:rsidRPr="00652FD0">
        <w:rPr>
          <w:b/>
          <w:bCs/>
        </w:rPr>
        <w:t>估值</w:t>
      </w:r>
      <w:r w:rsidRPr="00652FD0">
        <w:t>，确定“买入价”范围。巴菲特坚持</w:t>
      </w:r>
      <w:r w:rsidRPr="00652FD0">
        <w:rPr>
          <w:b/>
          <w:bCs/>
        </w:rPr>
        <w:t>内在价值=未来现金流折现</w:t>
      </w:r>
      <w:r w:rsidRPr="00652FD0">
        <w:t>的原则，即约翰·伯尔·威廉姆斯的经典理论：“一项资产的价值等于其未来生命周期内所有现金流入流出的折现总和”。在实际操作中，他采用刚算出的</w:t>
      </w:r>
      <w:r w:rsidRPr="00652FD0">
        <w:rPr>
          <w:b/>
          <w:bCs/>
        </w:rPr>
        <w:t>股东盈余作为现金流</w:t>
      </w:r>
      <w:r w:rsidRPr="00652FD0">
        <w:t>基准，以</w:t>
      </w:r>
      <w:r w:rsidRPr="00652FD0">
        <w:rPr>
          <w:b/>
          <w:bCs/>
        </w:rPr>
        <w:t>长期国债利率作为折现率</w:t>
      </w:r>
      <w:r w:rsidRPr="00652FD0">
        <w:t>来计算企业的内在价值。也就是说，只需确定两个关键变量：未来每年的Owner Earnings预测值和合适的折现率。通常他会假设一个</w:t>
      </w:r>
      <w:r w:rsidRPr="00652FD0">
        <w:rPr>
          <w:b/>
          <w:bCs/>
        </w:rPr>
        <w:t>保守的增长率</w:t>
      </w:r>
      <w:r w:rsidRPr="00652FD0">
        <w:t>来预测未来现金流（分阶段增长或稳定增长），折现率则反映无风险收益（例如美国长期国债利率，对应投资的机会成本）。将未来若干年的股东盈余折现求和，再加上终值折现，便得到公司的</w:t>
      </w:r>
      <w:r w:rsidRPr="00652FD0">
        <w:rPr>
          <w:b/>
          <w:bCs/>
        </w:rPr>
        <w:t>内在价值</w:t>
      </w:r>
      <w:r w:rsidRPr="00652FD0">
        <w:t>估计。巴菲特在此基础上</w:t>
      </w:r>
      <w:r w:rsidRPr="00652FD0">
        <w:rPr>
          <w:b/>
          <w:bCs/>
        </w:rPr>
        <w:t>要求一定的折价</w:t>
      </w:r>
      <w:r w:rsidRPr="00652FD0">
        <w:t>才会出手买入，即著名的“</w:t>
      </w:r>
      <w:r w:rsidRPr="00652FD0">
        <w:rPr>
          <w:b/>
          <w:bCs/>
        </w:rPr>
        <w:t>安全边际</w:t>
      </w:r>
      <w:r w:rsidRPr="00652FD0">
        <w:t>”原则。安全边际是价值投资的基石：如果市场股价远低于内在价值，差额越大，投资风险越低且潜在收益越高。这种价格折扣提供了双重好处：（a）下行保护——万一判断有误，股价下跌空间有限，不至于大幅亏损；（b）上行弹性——一旦市场修正错误定价，股价回升，将为投资者带来超额回报。需要注意，由于巴菲特同时吸收了费雪和芒格“买好公司”的思想，对于极其优秀的企业（护城河深厚、管理出色），他有时愿意适当降低安全边际要求，以略高的价购入。总体而言，第五步的逻辑是：</w:t>
      </w:r>
      <w:r w:rsidRPr="00652FD0">
        <w:rPr>
          <w:b/>
          <w:bCs/>
        </w:rPr>
        <w:t>认真算出值多少，再大幅压价买进</w:t>
      </w:r>
      <w:r w:rsidRPr="00652FD0">
        <w:t>，宁可错过也</w:t>
      </w:r>
      <w:proofErr w:type="gramStart"/>
      <w:r w:rsidRPr="00652FD0">
        <w:t>不</w:t>
      </w:r>
      <w:proofErr w:type="gramEnd"/>
      <w:r w:rsidRPr="00652FD0">
        <w:t>高价冒险。</w:t>
      </w:r>
    </w:p>
    <w:p w14:paraId="19141B44" w14:textId="77777777" w:rsidR="00652FD0" w:rsidRPr="00652FD0" w:rsidRDefault="00652FD0" w:rsidP="00652FD0">
      <w:r w:rsidRPr="00652FD0">
        <w:rPr>
          <w:b/>
          <w:bCs/>
        </w:rPr>
        <w:t>6. 投资决策与持有</w:t>
      </w:r>
      <w:r w:rsidRPr="00652FD0">
        <w:t>：完成以上分析后，若一家公司在</w:t>
      </w:r>
      <w:r w:rsidRPr="00652FD0">
        <w:rPr>
          <w:b/>
          <w:bCs/>
        </w:rPr>
        <w:t>商业模式、管理层、财务健康</w:t>
      </w:r>
      <w:r w:rsidRPr="00652FD0">
        <w:t>方面都表现优异，且当前市场价格较内在价值有显著折让，那么就满足了巴菲特的投资标准。这时投资者应当果断行动——</w:t>
      </w:r>
      <w:r w:rsidRPr="00652FD0">
        <w:rPr>
          <w:b/>
          <w:bCs/>
        </w:rPr>
        <w:t>买入这家公司的股票</w:t>
      </w:r>
      <w:r w:rsidRPr="00652FD0">
        <w:t>并纳入投资组合。巴菲特主张集中持股于自己最有把握的少数股票，而非过度分散。因此在实际操作中，他会对符合标准的公司</w:t>
      </w:r>
      <w:r w:rsidRPr="00652FD0">
        <w:rPr>
          <w:b/>
          <w:bCs/>
        </w:rPr>
        <w:t>大笔建仓</w:t>
      </w:r>
      <w:r w:rsidRPr="00652FD0">
        <w:t>（高比例持有），而不在太多平庸标的上浪费资金。买入后，最重要的是</w:t>
      </w:r>
      <w:r w:rsidRPr="00652FD0">
        <w:rPr>
          <w:b/>
          <w:bCs/>
        </w:rPr>
        <w:t>耐心持有</w:t>
      </w:r>
      <w:r w:rsidRPr="00652FD0">
        <w:t>。巴菲特的理想持股期限是“永远”，意指只要公司基本面不变、价值持续增长，就无需理会短期股价波动，也不轻易卖出获利了结。他把股票市场的波动视作朋友而非敌人，运用大众的恐惧和贪婪来获得更好买卖时机。在持有期间，需要具备</w:t>
      </w:r>
      <w:r w:rsidRPr="00652FD0">
        <w:rPr>
          <w:b/>
          <w:bCs/>
        </w:rPr>
        <w:t>平静的心态和长期的视角</w:t>
      </w:r>
      <w:r w:rsidRPr="00652FD0">
        <w:t>：股价短期涨跌并不影响企业价值，反而提供了可以逢低加仓或高估时适度减持的线索。只有当</w:t>
      </w:r>
      <w:r w:rsidRPr="00652FD0">
        <w:rPr>
          <w:b/>
          <w:bCs/>
        </w:rPr>
        <w:t>股票价格大幅高于内在价值</w:t>
      </w:r>
      <w:r w:rsidRPr="00652FD0">
        <w:t>且找不到更好的投资去处时，巴菲特才考虑卖出，实现收益并腾出资金布局新的机会。整个过程循</w:t>
      </w:r>
      <w:r w:rsidRPr="00652FD0">
        <w:lastRenderedPageBreak/>
        <w:t>环往复，始终遵循实证和理性。可以说，巴菲特的投资指南将</w:t>
      </w:r>
      <w:r w:rsidRPr="00652FD0">
        <w:rPr>
          <w:b/>
          <w:bCs/>
        </w:rPr>
        <w:t>定性判断（好企业）与定量分析（算价值）完美结合，并辅以纪律和耐心</w:t>
      </w:r>
      <w:r w:rsidRPr="00652FD0">
        <w:t>两大要素，形成了独树一帜且行之有效的投资体系。</w:t>
      </w:r>
    </w:p>
    <w:p w14:paraId="3366B9D9" w14:textId="77777777" w:rsidR="00652FD0" w:rsidRPr="00652FD0" w:rsidRDefault="00652FD0" w:rsidP="00652FD0">
      <w:pPr>
        <w:rPr>
          <w:b/>
          <w:bCs/>
        </w:rPr>
      </w:pPr>
      <w:r w:rsidRPr="00652FD0">
        <w:rPr>
          <w:b/>
          <w:bCs/>
        </w:rPr>
        <w:t>巴菲特公司分析清单（标准化模板）</w:t>
      </w:r>
    </w:p>
    <w:p w14:paraId="06F491E0" w14:textId="77777777" w:rsidR="00652FD0" w:rsidRPr="00652FD0" w:rsidRDefault="00652FD0" w:rsidP="00652FD0">
      <w:r w:rsidRPr="00652FD0">
        <w:t>按照《巴菲特之道》总结的12条准则，我们整理出一个公司基本面分析的清单模板。投资者在调研一家企业时，可逐项核对以下问题：</w:t>
      </w:r>
    </w:p>
    <w:p w14:paraId="6F8D0242" w14:textId="77777777" w:rsidR="00652FD0" w:rsidRPr="00652FD0" w:rsidRDefault="00652FD0" w:rsidP="00652FD0">
      <w:pPr>
        <w:numPr>
          <w:ilvl w:val="0"/>
          <w:numId w:val="2"/>
        </w:numPr>
      </w:pPr>
      <w:r w:rsidRPr="00652FD0">
        <w:rPr>
          <w:b/>
          <w:bCs/>
        </w:rPr>
        <w:t>企业准则（Business Tenets）：</w:t>
      </w:r>
    </w:p>
    <w:p w14:paraId="0F9C8D8C" w14:textId="77777777" w:rsidR="00652FD0" w:rsidRPr="00652FD0" w:rsidRDefault="00652FD0" w:rsidP="00652FD0">
      <w:pPr>
        <w:numPr>
          <w:ilvl w:val="1"/>
          <w:numId w:val="2"/>
        </w:numPr>
      </w:pPr>
      <w:r w:rsidRPr="00652FD0">
        <w:rPr>
          <w:b/>
          <w:bCs/>
        </w:rPr>
        <w:t>业务是否简单易懂？</w:t>
      </w:r>
      <w:r w:rsidRPr="00652FD0">
        <w:t xml:space="preserve"> – 公司主营业务的产品/服务是什么，商业模式是否清晰？避免超出认知范围的复杂产业。</w:t>
      </w:r>
    </w:p>
    <w:p w14:paraId="03EEF92C" w14:textId="77777777" w:rsidR="00652FD0" w:rsidRPr="00652FD0" w:rsidRDefault="00652FD0" w:rsidP="00652FD0">
      <w:pPr>
        <w:numPr>
          <w:ilvl w:val="1"/>
          <w:numId w:val="2"/>
        </w:numPr>
      </w:pPr>
      <w:r w:rsidRPr="00652FD0">
        <w:rPr>
          <w:b/>
          <w:bCs/>
        </w:rPr>
        <w:t>是否有持续稳定的经营历史？</w:t>
      </w:r>
      <w:r w:rsidRPr="00652FD0">
        <w:t xml:space="preserve"> – 公司业绩记录是否稳健，一贯盈利且波动较小？尽量选择经营多年、证明自身实力的企业。</w:t>
      </w:r>
    </w:p>
    <w:p w14:paraId="01D9C123" w14:textId="77777777" w:rsidR="00652FD0" w:rsidRPr="00652FD0" w:rsidRDefault="00652FD0" w:rsidP="00652FD0">
      <w:pPr>
        <w:numPr>
          <w:ilvl w:val="1"/>
          <w:numId w:val="2"/>
        </w:numPr>
      </w:pPr>
      <w:r w:rsidRPr="00652FD0">
        <w:rPr>
          <w:b/>
          <w:bCs/>
        </w:rPr>
        <w:t>企业是否有良好的长期前景？（护城河）</w:t>
      </w:r>
      <w:r w:rsidRPr="00652FD0">
        <w:t xml:space="preserve"> – 公司是否拥有持久的竞争优势，如品牌垄断、成本领先、独特资源等，使其产品/服务长期被广泛需求且难以替代？行业地位能否长期保持？</w:t>
      </w:r>
    </w:p>
    <w:p w14:paraId="19D31F61" w14:textId="77777777" w:rsidR="00652FD0" w:rsidRPr="00652FD0" w:rsidRDefault="00652FD0" w:rsidP="00652FD0">
      <w:pPr>
        <w:numPr>
          <w:ilvl w:val="0"/>
          <w:numId w:val="2"/>
        </w:numPr>
      </w:pPr>
      <w:r w:rsidRPr="00652FD0">
        <w:rPr>
          <w:b/>
          <w:bCs/>
        </w:rPr>
        <w:t>管理准则（Management Tenets）：</w:t>
      </w:r>
      <w:r w:rsidRPr="00652FD0">
        <w:br/>
        <w:t xml:space="preserve">4. </w:t>
      </w:r>
      <w:r w:rsidRPr="00652FD0">
        <w:rPr>
          <w:b/>
          <w:bCs/>
        </w:rPr>
        <w:t>管理层是否理性经营并合理分配资本？</w:t>
      </w:r>
      <w:r w:rsidRPr="00652FD0">
        <w:t xml:space="preserve"> – 公司高</w:t>
      </w:r>
      <w:proofErr w:type="gramStart"/>
      <w:r w:rsidRPr="00652FD0">
        <w:t>管如何</w:t>
      </w:r>
      <w:proofErr w:type="gramEnd"/>
      <w:r w:rsidRPr="00652FD0">
        <w:t>使用留存盈余？是否在股东利益优先的前提下做出增值决策（如明智投资、回购或分红），避免盲目扩张帝国？</w:t>
      </w:r>
      <w:r w:rsidRPr="00652FD0">
        <w:br/>
        <w:t xml:space="preserve">5. </w:t>
      </w:r>
      <w:r w:rsidRPr="00652FD0">
        <w:rPr>
          <w:b/>
          <w:bCs/>
        </w:rPr>
        <w:t>管理层对股东是否坦诚？</w:t>
      </w:r>
      <w:r w:rsidRPr="00652FD0">
        <w:t xml:space="preserve"> – 信息披露是否透明真实，</w:t>
      </w:r>
      <w:proofErr w:type="gramStart"/>
      <w:r w:rsidRPr="00652FD0">
        <w:t>财报有无</w:t>
      </w:r>
      <w:proofErr w:type="gramEnd"/>
      <w:r w:rsidRPr="00652FD0">
        <w:t>粉饰？管理层能否勇于承认错误，真诚沟通公司问题，而非报喜不报忧？</w:t>
      </w:r>
      <w:r w:rsidRPr="00652FD0">
        <w:br/>
        <w:t xml:space="preserve">6. </w:t>
      </w:r>
      <w:r w:rsidRPr="00652FD0">
        <w:rPr>
          <w:b/>
          <w:bCs/>
        </w:rPr>
        <w:t>管理层能否抗拒机构惯性驱使？</w:t>
      </w:r>
      <w:r w:rsidRPr="00652FD0">
        <w:t xml:space="preserve"> – 公司决策是否独立理性，不盲从华尔街压力或同行做法？高</w:t>
      </w:r>
      <w:proofErr w:type="gramStart"/>
      <w:r w:rsidRPr="00652FD0">
        <w:t>管能否</w:t>
      </w:r>
      <w:proofErr w:type="gramEnd"/>
      <w:r w:rsidRPr="00652FD0">
        <w:t>坚持正确策略，而不因追逐短期指标或模仿竞争对手而偏离长期利益？</w:t>
      </w:r>
    </w:p>
    <w:p w14:paraId="5367808A" w14:textId="77777777" w:rsidR="00652FD0" w:rsidRPr="00652FD0" w:rsidRDefault="00652FD0" w:rsidP="00652FD0">
      <w:pPr>
        <w:numPr>
          <w:ilvl w:val="0"/>
          <w:numId w:val="2"/>
        </w:numPr>
      </w:pPr>
      <w:r w:rsidRPr="00652FD0">
        <w:rPr>
          <w:b/>
          <w:bCs/>
        </w:rPr>
        <w:t>财务准则（Financial Tenets）：</w:t>
      </w:r>
      <w:r w:rsidRPr="00652FD0">
        <w:br/>
        <w:t xml:space="preserve">7. </w:t>
      </w:r>
      <w:r w:rsidRPr="00652FD0">
        <w:rPr>
          <w:b/>
          <w:bCs/>
        </w:rPr>
        <w:t>关注股东回报率(ROE)，而非每股盈余(EPS)。</w:t>
      </w:r>
      <w:r w:rsidRPr="00652FD0">
        <w:t xml:space="preserve"> – 公司净资产收益率是否持续优异且高于同行？注意ROE的来源是否健康（盈利能力而非高杠杆）。EPS增长是否由</w:t>
      </w:r>
      <w:proofErr w:type="gramStart"/>
      <w:r w:rsidRPr="00652FD0">
        <w:t>真实业务</w:t>
      </w:r>
      <w:proofErr w:type="gramEnd"/>
      <w:r w:rsidRPr="00652FD0">
        <w:t>推动而非会计调整？</w:t>
      </w:r>
      <w:r w:rsidRPr="00652FD0">
        <w:br/>
        <w:t xml:space="preserve">8. </w:t>
      </w:r>
      <w:r w:rsidRPr="00652FD0">
        <w:rPr>
          <w:b/>
          <w:bCs/>
        </w:rPr>
        <w:t>计算真实的“股东盈余”。</w:t>
      </w:r>
      <w:r w:rsidRPr="00652FD0">
        <w:t xml:space="preserve"> – 依据公式</w:t>
      </w:r>
      <w:r w:rsidRPr="00652FD0">
        <w:rPr>
          <w:b/>
          <w:bCs/>
        </w:rPr>
        <w:t>净利润 + 折旧摊销 – 资本支出</w:t>
      </w:r>
      <w:r w:rsidRPr="00652FD0">
        <w:t>估算公司每年的自由现金流。股东盈余趋势如何？为估值提供可靠的现金流基础。</w:t>
      </w:r>
      <w:r w:rsidRPr="00652FD0">
        <w:br/>
        <w:t xml:space="preserve">9. </w:t>
      </w:r>
      <w:r w:rsidRPr="00652FD0">
        <w:rPr>
          <w:b/>
          <w:bCs/>
        </w:rPr>
        <w:t>利润率是否持续高水平？</w:t>
      </w:r>
      <w:r w:rsidRPr="00652FD0">
        <w:t xml:space="preserve"> – 公司毛利率、净利率是否长期领先同行且保持稳定？高利润率意味着强大的定价权或成本控制力，通常是“伟大企业”的标志。</w:t>
      </w:r>
      <w:r w:rsidRPr="00652FD0">
        <w:br/>
        <w:t xml:space="preserve">10. </w:t>
      </w:r>
      <w:r w:rsidRPr="00652FD0">
        <w:rPr>
          <w:b/>
          <w:bCs/>
        </w:rPr>
        <w:t>“一美元”法则检验。</w:t>
      </w:r>
      <w:r w:rsidRPr="00652FD0">
        <w:t xml:space="preserve"> – 历史数据中，公司每留存1元利润是否至少创造了1元市值增长？若长期开不了这项户口（比例&lt;1），说明盈利再投资效果不佳，需要质疑管理层的资本配置效率。</w:t>
      </w:r>
    </w:p>
    <w:p w14:paraId="44BB16BC" w14:textId="77777777" w:rsidR="00652FD0" w:rsidRPr="00652FD0" w:rsidRDefault="00652FD0" w:rsidP="00652FD0">
      <w:pPr>
        <w:numPr>
          <w:ilvl w:val="0"/>
          <w:numId w:val="2"/>
        </w:numPr>
      </w:pPr>
      <w:r w:rsidRPr="00652FD0">
        <w:rPr>
          <w:b/>
          <w:bCs/>
        </w:rPr>
        <w:lastRenderedPageBreak/>
        <w:t>市场/价值准则（Value/Market Tenets）：</w:t>
      </w:r>
      <w:r w:rsidRPr="00652FD0">
        <w:br/>
        <w:t xml:space="preserve">11. </w:t>
      </w:r>
      <w:r w:rsidRPr="00652FD0">
        <w:rPr>
          <w:b/>
          <w:bCs/>
        </w:rPr>
        <w:t>计算企业的内在价值。</w:t>
      </w:r>
      <w:r w:rsidRPr="00652FD0">
        <w:t xml:space="preserve"> – 根据公司未来</w:t>
      </w:r>
      <w:r w:rsidRPr="00652FD0">
        <w:rPr>
          <w:b/>
          <w:bCs/>
        </w:rPr>
        <w:t>股东盈余</w:t>
      </w:r>
      <w:r w:rsidRPr="00652FD0">
        <w:t>预测，用贴现现金流(DCF)模型求出企业的内在价值。确定合理的贴现率（通常采用无风险利率，如长期国债收益率）和增长假设，并考虑终端价值。</w:t>
      </w:r>
      <w:r w:rsidRPr="00652FD0">
        <w:br/>
        <w:t xml:space="preserve">12. </w:t>
      </w:r>
      <w:r w:rsidRPr="00652FD0">
        <w:rPr>
          <w:b/>
          <w:bCs/>
        </w:rPr>
        <w:t>股价能否以足够折扣买入？（安全边际）</w:t>
      </w:r>
      <w:r w:rsidRPr="00652FD0">
        <w:t xml:space="preserve"> – 当前市场价格较内在价值有多大折让？理想情况下，应有显著的</w:t>
      </w:r>
      <w:r w:rsidRPr="00652FD0">
        <w:rPr>
          <w:b/>
          <w:bCs/>
        </w:rPr>
        <w:t>安全边际</w:t>
      </w:r>
      <w:r w:rsidRPr="00652FD0">
        <w:t>。若</w:t>
      </w:r>
      <w:r w:rsidRPr="00652FD0">
        <w:rPr>
          <w:b/>
          <w:bCs/>
        </w:rPr>
        <w:t>价格近似或高于内在价值</w:t>
      </w:r>
      <w:r w:rsidRPr="00652FD0">
        <w:t>，则放弃投资；只有当股价远低于价值时才考虑买入，以确保风险可控且回报可观。</w:t>
      </w:r>
    </w:p>
    <w:p w14:paraId="5863F3A7" w14:textId="77777777" w:rsidR="00652FD0" w:rsidRPr="00652FD0" w:rsidRDefault="00652FD0" w:rsidP="00652FD0">
      <w:r w:rsidRPr="00652FD0">
        <w:t>以上清单涵盖定性与定量两个层面，每一项都</w:t>
      </w:r>
      <w:proofErr w:type="gramStart"/>
      <w:r w:rsidRPr="00652FD0">
        <w:t>对应巴菲特选股</w:t>
      </w:r>
      <w:proofErr w:type="gramEnd"/>
      <w:r w:rsidRPr="00652FD0">
        <w:t>时关注的要点。投资者可将其作为</w:t>
      </w:r>
      <w:r w:rsidRPr="00652FD0">
        <w:rPr>
          <w:b/>
          <w:bCs/>
        </w:rPr>
        <w:t>核对表</w:t>
      </w:r>
      <w:r w:rsidRPr="00652FD0">
        <w:t>，在分析公司时逐条审视，从而不遗漏关键因素。需要强调的是，这些准则主要适用于具有</w:t>
      </w:r>
      <w:proofErr w:type="gramStart"/>
      <w:r w:rsidRPr="00652FD0">
        <w:t>成熟业务</w:t>
      </w:r>
      <w:proofErr w:type="gramEnd"/>
      <w:r w:rsidRPr="00652FD0">
        <w:t>和稳定现金流的企业。对于初创、高科技公司，有些指标（如稳定历史、高利润率等）可能不适用。但总体而言，这套清单为评估大多数上市公司提供了</w:t>
      </w:r>
      <w:r w:rsidRPr="00652FD0">
        <w:rPr>
          <w:b/>
          <w:bCs/>
        </w:rPr>
        <w:t>结构化框架</w:t>
      </w:r>
      <w:r w:rsidRPr="00652FD0">
        <w:t>，帮助投资者以巴菲特的视角洞察企业价值。</w:t>
      </w:r>
    </w:p>
    <w:p w14:paraId="0D8720D7" w14:textId="77777777" w:rsidR="00652FD0" w:rsidRPr="00652FD0" w:rsidRDefault="00652FD0" w:rsidP="00652FD0">
      <w:pPr>
        <w:rPr>
          <w:b/>
          <w:bCs/>
        </w:rPr>
      </w:pPr>
      <w:r w:rsidRPr="00652FD0">
        <w:rPr>
          <w:b/>
          <w:bCs/>
        </w:rPr>
        <w:t>AI可执行的逐步分析流程</w:t>
      </w:r>
    </w:p>
    <w:p w14:paraId="1403A369" w14:textId="77777777" w:rsidR="00652FD0" w:rsidRPr="00652FD0" w:rsidRDefault="00652FD0" w:rsidP="00652FD0">
      <w:r w:rsidRPr="00652FD0">
        <w:t>基于上述框架，我们可以将巴菲特的投</w:t>
      </w:r>
      <w:proofErr w:type="gramStart"/>
      <w:r w:rsidRPr="00652FD0">
        <w:t>研</w:t>
      </w:r>
      <w:proofErr w:type="gramEnd"/>
      <w:r w:rsidRPr="00652FD0">
        <w:t>分析方法转化为一个</w:t>
      </w:r>
      <w:r w:rsidRPr="00652FD0">
        <w:rPr>
          <w:b/>
          <w:bCs/>
        </w:rPr>
        <w:t>逐步可执行的流程</w:t>
      </w:r>
      <w:r w:rsidRPr="00652FD0">
        <w:t>，方便人工智能或投资决策系统按照顺序完成评估。以下是按步骤划分的分析流程：</w:t>
      </w:r>
    </w:p>
    <w:p w14:paraId="6AA0BBAC" w14:textId="77777777" w:rsidR="00652FD0" w:rsidRPr="00652FD0" w:rsidRDefault="00652FD0" w:rsidP="00652FD0">
      <w:pPr>
        <w:numPr>
          <w:ilvl w:val="0"/>
          <w:numId w:val="3"/>
        </w:numPr>
      </w:pPr>
      <w:r w:rsidRPr="00652FD0">
        <w:rPr>
          <w:b/>
          <w:bCs/>
        </w:rPr>
        <w:t>业务理解与筛选</w:t>
      </w:r>
      <w:r w:rsidRPr="00652FD0">
        <w:t xml:space="preserve"> – </w:t>
      </w:r>
      <w:r w:rsidRPr="00652FD0">
        <w:rPr>
          <w:i/>
          <w:iCs/>
        </w:rPr>
        <w:t>输入</w:t>
      </w:r>
      <w:r w:rsidRPr="00652FD0">
        <w:t>一家候选公司的基本信息。</w:t>
      </w:r>
      <w:r w:rsidRPr="00652FD0">
        <w:rPr>
          <w:b/>
          <w:bCs/>
        </w:rPr>
        <w:t>解析其商业模式和行业</w:t>
      </w:r>
      <w:r w:rsidRPr="00652FD0">
        <w:t>，确保属于分析者（或AI模型）的能力</w:t>
      </w:r>
      <w:proofErr w:type="gramStart"/>
      <w:r w:rsidRPr="00652FD0">
        <w:t>圈范围</w:t>
      </w:r>
      <w:proofErr w:type="gramEnd"/>
      <w:r w:rsidRPr="00652FD0">
        <w:t>内。判断公司业务是否简单清晰，产品/服务是否易于理解，并具有多年稳定运营历史。若公司过于复杂或缺乏业绩记录，则停止分析或标记为高风险。</w:t>
      </w:r>
    </w:p>
    <w:p w14:paraId="334CAF18" w14:textId="77777777" w:rsidR="00652FD0" w:rsidRPr="00652FD0" w:rsidRDefault="00652FD0" w:rsidP="00652FD0">
      <w:pPr>
        <w:numPr>
          <w:ilvl w:val="0"/>
          <w:numId w:val="3"/>
        </w:numPr>
      </w:pPr>
      <w:r w:rsidRPr="00652FD0">
        <w:rPr>
          <w:b/>
          <w:bCs/>
        </w:rPr>
        <w:t>护城河评估</w:t>
      </w:r>
      <w:r w:rsidRPr="00652FD0">
        <w:t xml:space="preserve"> – 收集该公司所在行业的竞争格局和公司自身的竞争优势数据。分析公司是否拥有</w:t>
      </w:r>
      <w:r w:rsidRPr="00652FD0">
        <w:rPr>
          <w:b/>
          <w:bCs/>
        </w:rPr>
        <w:t>经济护城河</w:t>
      </w:r>
      <w:r w:rsidRPr="00652FD0">
        <w:t>：例如市场占有率、品牌知名度、专利技术、成本优势、网络效应等。判断公司产品/服务的需求是否长期存在且缺少替代品，以及公司在可见的未来能否保持领先地位。如果缺乏长期优势，可在模型中降低对其增长和持久性的预期。</w:t>
      </w:r>
    </w:p>
    <w:p w14:paraId="1FE5FDFE" w14:textId="77777777" w:rsidR="00652FD0" w:rsidRPr="00652FD0" w:rsidRDefault="00652FD0" w:rsidP="00652FD0">
      <w:pPr>
        <w:numPr>
          <w:ilvl w:val="0"/>
          <w:numId w:val="3"/>
        </w:numPr>
      </w:pPr>
      <w:r w:rsidRPr="00652FD0">
        <w:rPr>
          <w:b/>
          <w:bCs/>
        </w:rPr>
        <w:t>管理层分析</w:t>
      </w:r>
      <w:r w:rsidRPr="00652FD0">
        <w:t xml:space="preserve"> – 获取公司管理</w:t>
      </w:r>
      <w:proofErr w:type="gramStart"/>
      <w:r w:rsidRPr="00652FD0">
        <w:t>层公开</w:t>
      </w:r>
      <w:proofErr w:type="gramEnd"/>
      <w:r w:rsidRPr="00652FD0">
        <w:t>信息（年报致股东信、高管访谈、治理评估等）。检测管理</w:t>
      </w:r>
      <w:proofErr w:type="gramStart"/>
      <w:r w:rsidRPr="00652FD0">
        <w:t>层行为</w:t>
      </w:r>
      <w:proofErr w:type="gramEnd"/>
      <w:r w:rsidRPr="00652FD0">
        <w:t>是否符合理性和坦诚标准：如利润分配政策（股息率、回购记录）是否合理；</w:t>
      </w:r>
      <w:proofErr w:type="gramStart"/>
      <w:r w:rsidRPr="00652FD0">
        <w:t>财报披露</w:t>
      </w:r>
      <w:proofErr w:type="gramEnd"/>
      <w:r w:rsidRPr="00652FD0">
        <w:t>是否透明，是否存在会计违规或过度调整迹象；重大决策（并购、扩张）是否审慎，有无仅为追随行业潮流的人云亦云行为。AI可通过自然语言处理分析管理层言论的诚实度，或通过数据分析其资本运用效率。对管理层品质给出评分或评语。</w:t>
      </w:r>
    </w:p>
    <w:p w14:paraId="554DBDAF" w14:textId="77777777" w:rsidR="00652FD0" w:rsidRPr="00652FD0" w:rsidRDefault="00652FD0" w:rsidP="00652FD0">
      <w:pPr>
        <w:numPr>
          <w:ilvl w:val="0"/>
          <w:numId w:val="3"/>
        </w:numPr>
      </w:pPr>
      <w:r w:rsidRPr="00652FD0">
        <w:rPr>
          <w:b/>
          <w:bCs/>
        </w:rPr>
        <w:t>财务数据处理</w:t>
      </w:r>
      <w:r w:rsidRPr="00652FD0">
        <w:t xml:space="preserve"> – 导入公司过去若干年的财务报表数据。计算关键财务指标：</w:t>
      </w:r>
      <w:r w:rsidRPr="00652FD0">
        <w:rPr>
          <w:b/>
          <w:bCs/>
        </w:rPr>
        <w:t>ROE</w:t>
      </w:r>
      <w:r w:rsidRPr="00652FD0">
        <w:t>（净资产收益率）看趋势和相对同行的水平；</w:t>
      </w:r>
      <w:r w:rsidRPr="00652FD0">
        <w:rPr>
          <w:b/>
          <w:bCs/>
        </w:rPr>
        <w:t>利润率</w:t>
      </w:r>
      <w:r w:rsidRPr="00652FD0">
        <w:t>（毛利率、净利率）看是否稳定且高于行业均值。重点按照公式计算每年的</w:t>
      </w:r>
      <w:r w:rsidRPr="00652FD0">
        <w:rPr>
          <w:b/>
          <w:bCs/>
        </w:rPr>
        <w:t>股东盈余</w:t>
      </w:r>
      <w:r w:rsidRPr="00652FD0">
        <w:t>＝净利润 + 折旧摊销 – 资本支出。如果公司有显著非常项或一次性收益，需做适当调整</w:t>
      </w:r>
      <w:r w:rsidRPr="00652FD0">
        <w:lastRenderedPageBreak/>
        <w:t>以反映持续的盈利能力。汇总近年股东盈余数据，为估值做准备。</w:t>
      </w:r>
    </w:p>
    <w:p w14:paraId="2272B632" w14:textId="77777777" w:rsidR="00652FD0" w:rsidRPr="00652FD0" w:rsidRDefault="00652FD0" w:rsidP="00652FD0">
      <w:pPr>
        <w:numPr>
          <w:ilvl w:val="0"/>
          <w:numId w:val="3"/>
        </w:numPr>
      </w:pPr>
      <w:r w:rsidRPr="00652FD0">
        <w:rPr>
          <w:b/>
          <w:bCs/>
        </w:rPr>
        <w:t>“一美元”检验</w:t>
      </w:r>
      <w:r w:rsidRPr="00652FD0">
        <w:t xml:space="preserve"> – 利用历史数据验证公司留存收益的效果。计算一段时期内公司市值的增长，与同期</w:t>
      </w:r>
      <w:r w:rsidRPr="00652FD0">
        <w:rPr>
          <w:b/>
          <w:bCs/>
        </w:rPr>
        <w:t>累计留存利润</w:t>
      </w:r>
      <w:r w:rsidRPr="00652FD0">
        <w:t>相比。AI可自动计算例如过去5年：增加的市值/(</w:t>
      </w:r>
      <w:proofErr w:type="gramStart"/>
      <w:r w:rsidRPr="00652FD0">
        <w:t>总净利润</w:t>
      </w:r>
      <w:proofErr w:type="gramEnd"/>
      <w:r w:rsidRPr="00652FD0">
        <w:rPr>
          <w:rFonts w:ascii="Cambria Math" w:hAnsi="Cambria Math" w:cs="Cambria Math"/>
        </w:rPr>
        <w:t>−</w:t>
      </w:r>
      <w:r w:rsidRPr="00652FD0">
        <w:t>总分红)增加的市值 / (</w:t>
      </w:r>
      <w:proofErr w:type="gramStart"/>
      <w:r w:rsidRPr="00652FD0">
        <w:t>总净利润</w:t>
      </w:r>
      <w:proofErr w:type="gramEnd"/>
      <w:r w:rsidRPr="00652FD0">
        <w:t>-总分红) 的比值。如果结果显著小于1，提示</w:t>
      </w:r>
      <w:r w:rsidRPr="00652FD0">
        <w:rPr>
          <w:b/>
          <w:bCs/>
        </w:rPr>
        <w:t>警告</w:t>
      </w:r>
      <w:r w:rsidRPr="00652FD0">
        <w:t>：公司再投资回报不佳，可能存在资源错配。如果大于1，说明历史上管理层为股东创造了价值，可加分。</w:t>
      </w:r>
    </w:p>
    <w:p w14:paraId="25C46AEA" w14:textId="77777777" w:rsidR="00652FD0" w:rsidRPr="00652FD0" w:rsidRDefault="00652FD0" w:rsidP="00652FD0">
      <w:pPr>
        <w:numPr>
          <w:ilvl w:val="0"/>
          <w:numId w:val="3"/>
        </w:numPr>
      </w:pPr>
      <w:r w:rsidRPr="00652FD0">
        <w:rPr>
          <w:b/>
          <w:bCs/>
        </w:rPr>
        <w:t>内在价值估算</w:t>
      </w:r>
      <w:r w:rsidRPr="00652FD0">
        <w:t xml:space="preserve"> – 基于前述分析，预测公司未来的现金流。首先，选择合理的</w:t>
      </w:r>
      <w:r w:rsidRPr="00652FD0">
        <w:rPr>
          <w:b/>
          <w:bCs/>
        </w:rPr>
        <w:t>预测期和增长率</w:t>
      </w:r>
      <w:r w:rsidRPr="00652FD0">
        <w:t>：例如模型可取未来5-10年的显性期增长率（参考历史增长、行业前景）和终局的稳定增长率（通常以宏观经济增长或通胀水平为依据，如美国长期名义GDP增速约5%）。然后，以</w:t>
      </w:r>
      <w:r w:rsidRPr="00652FD0">
        <w:rPr>
          <w:b/>
          <w:bCs/>
        </w:rPr>
        <w:t>股东盈余</w:t>
      </w:r>
      <w:r w:rsidRPr="00652FD0">
        <w:t>为基础，逐年预测未来现金流**（Owner Earnings）</w:t>
      </w:r>
      <w:r w:rsidRPr="00652FD0">
        <w:rPr>
          <w:b/>
          <w:bCs/>
        </w:rPr>
        <w:t>。选择折现率，通常以</w:t>
      </w:r>
      <w:r w:rsidRPr="00652FD0">
        <w:t>无风险利率**（如10年期国债收益率）代入，或根据需要加入适当风险溢价。将预测的现金流用折现率折现求和，加上终值的折现，计算得到公司的</w:t>
      </w:r>
      <w:r w:rsidRPr="00652FD0">
        <w:rPr>
          <w:b/>
          <w:bCs/>
        </w:rPr>
        <w:t>内在价值总和</w:t>
      </w:r>
      <w:r w:rsidRPr="00652FD0">
        <w:t>。AI在这一步需要确保计算逻辑严谨：包括对现金流增长的分段处理（高增长期 vs 永续稳定期），以及对折</w:t>
      </w:r>
      <w:proofErr w:type="gramStart"/>
      <w:r w:rsidRPr="00652FD0">
        <w:t>现过程</w:t>
      </w:r>
      <w:proofErr w:type="gramEnd"/>
      <w:r w:rsidRPr="00652FD0">
        <w:t>的正确实现。最后，将内在价值总和除以流通股数，得到每股内在价值估计。</w:t>
      </w:r>
    </w:p>
    <w:p w14:paraId="7B46692C" w14:textId="77777777" w:rsidR="00652FD0" w:rsidRPr="00652FD0" w:rsidRDefault="00652FD0" w:rsidP="00652FD0">
      <w:pPr>
        <w:numPr>
          <w:ilvl w:val="0"/>
          <w:numId w:val="3"/>
        </w:numPr>
      </w:pPr>
      <w:r w:rsidRPr="00652FD0">
        <w:rPr>
          <w:b/>
          <w:bCs/>
        </w:rPr>
        <w:t>比较市价与价值（安全边际判断）</w:t>
      </w:r>
      <w:r w:rsidRPr="00652FD0">
        <w:t xml:space="preserve"> – 抓取股票当前市场价格，与上一步计算的内在价值进行对比。计算</w:t>
      </w:r>
      <w:r w:rsidRPr="00652FD0">
        <w:rPr>
          <w:b/>
          <w:bCs/>
        </w:rPr>
        <w:t>折价率</w:t>
      </w:r>
      <w:r w:rsidRPr="00652FD0">
        <w:t>＝(内在价值-市场价)/内在价值。例如若内在价值为每股100美元，市场价70美元，则折价率=30%，表示有一定安全边际。AI应根据用户设定的</w:t>
      </w:r>
      <w:r w:rsidRPr="00652FD0">
        <w:rPr>
          <w:b/>
          <w:bCs/>
        </w:rPr>
        <w:t>安全边际阈值</w:t>
      </w:r>
      <w:r w:rsidRPr="00652FD0">
        <w:t>给出决策建议，例如要求至少30%以上折价才建议买入。如果折价不足，结论为“不具备投资吸引力”；若折价充足，则标记为“候选投资”。（同时，AI可以敏感性分析：考虑不同折现率或保守情境下，内在价值可能的下限，确保即使在悲观假设下仍有安全边际。）</w:t>
      </w:r>
    </w:p>
    <w:p w14:paraId="573DB8D7" w14:textId="77777777" w:rsidR="00652FD0" w:rsidRPr="00652FD0" w:rsidRDefault="00652FD0" w:rsidP="00652FD0">
      <w:pPr>
        <w:numPr>
          <w:ilvl w:val="0"/>
          <w:numId w:val="3"/>
        </w:numPr>
      </w:pPr>
      <w:r w:rsidRPr="00652FD0">
        <w:rPr>
          <w:b/>
          <w:bCs/>
        </w:rPr>
        <w:t>生成投资决策与后续跟踪</w:t>
      </w:r>
      <w:r w:rsidRPr="00652FD0">
        <w:t xml:space="preserve"> – 综合以上定性和定量分析结果，AI生成最终报告：包括对公司基本面的评估（优点缺点）、估值详情以及</w:t>
      </w:r>
      <w:r w:rsidRPr="00652FD0">
        <w:rPr>
          <w:b/>
          <w:bCs/>
        </w:rPr>
        <w:t>投资建议</w:t>
      </w:r>
      <w:r w:rsidRPr="00652FD0">
        <w:t>。</w:t>
      </w:r>
      <w:proofErr w:type="gramStart"/>
      <w:r w:rsidRPr="00652FD0">
        <w:t>若建议</w:t>
      </w:r>
      <w:proofErr w:type="gramEnd"/>
      <w:r w:rsidRPr="00652FD0">
        <w:t>买入，则还应提示</w:t>
      </w:r>
      <w:proofErr w:type="gramStart"/>
      <w:r w:rsidRPr="00652FD0">
        <w:rPr>
          <w:b/>
          <w:bCs/>
        </w:rPr>
        <w:t>仓位</w:t>
      </w:r>
      <w:proofErr w:type="gramEnd"/>
      <w:r w:rsidRPr="00652FD0">
        <w:rPr>
          <w:b/>
          <w:bCs/>
        </w:rPr>
        <w:t>管理</w:t>
      </w:r>
      <w:r w:rsidRPr="00652FD0">
        <w:t>建议（例如根据投资者偏好决定投资规模，注意适度分散以控制风险）。之后进入持仓阶段，AI定期监控公司的业绩和股价。当股价逐渐上涨接近内在价值时，可提醒投资者评估是否继续持有或获利了结。此外，AI会持续留意新的信息（行业变化、公司重大事件）以更新内在价值评估，确保投资逻辑未发生根本变化。如果基本面恶化或价格大幅高于价值并无进一步增长预期，AI将提示卖出信号。整个流程体现出巴菲特所倡导的**“买入即合伙”心态**：在持有期间像经营企业那样关注公司长期价值，而非被市场情绪左右。通过严格遵循以上步骤，AI能够在投资分析中</w:t>
      </w:r>
      <w:r w:rsidRPr="00652FD0">
        <w:rPr>
          <w:b/>
          <w:bCs/>
        </w:rPr>
        <w:t>尽量模拟巴菲特的思想过程</w:t>
      </w:r>
      <w:r w:rsidRPr="00652FD0">
        <w:t>，为投资者做出理性决策提供有力支持。</w:t>
      </w:r>
    </w:p>
    <w:p w14:paraId="75E8F3AF" w14:textId="77777777" w:rsidR="00652FD0" w:rsidRPr="00652FD0" w:rsidRDefault="00652FD0" w:rsidP="00652FD0">
      <w:r w:rsidRPr="00652FD0">
        <w:rPr>
          <w:b/>
          <w:bCs/>
        </w:rPr>
        <w:t>Sources:</w:t>
      </w:r>
      <w:r w:rsidRPr="00652FD0">
        <w:t xml:space="preserve"> 核心内容和准则框架基于罗伯特·哈格斯特朗《巴菲特之道（第3版）》的提炼；案例及方法论细节参考书中实例解析和相关评述；估值模型原则源自巴菲特在伯</w:t>
      </w:r>
      <w:r w:rsidRPr="00652FD0">
        <w:lastRenderedPageBreak/>
        <w:t>克希尔股东信中的论述以及书中引用；以上内容经综合多方资料</w:t>
      </w:r>
      <w:proofErr w:type="gramStart"/>
      <w:r w:rsidRPr="00652FD0">
        <w:t>研</w:t>
      </w:r>
      <w:proofErr w:type="gramEnd"/>
      <w:r w:rsidRPr="00652FD0">
        <w:t>判和归纳整理。</w:t>
      </w:r>
    </w:p>
    <w:p w14:paraId="5BE5487B" w14:textId="77777777" w:rsidR="00652FD0" w:rsidRDefault="00652FD0"/>
    <w:sectPr w:rsidR="00652F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07736"/>
    <w:multiLevelType w:val="multilevel"/>
    <w:tmpl w:val="251051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B65E7"/>
    <w:multiLevelType w:val="multilevel"/>
    <w:tmpl w:val="38F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25A2E"/>
    <w:multiLevelType w:val="multilevel"/>
    <w:tmpl w:val="E43C6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695994">
    <w:abstractNumId w:val="1"/>
  </w:num>
  <w:num w:numId="2" w16cid:durableId="54551284">
    <w:abstractNumId w:val="0"/>
  </w:num>
  <w:num w:numId="3" w16cid:durableId="1554847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D0"/>
    <w:rsid w:val="00652FD0"/>
    <w:rsid w:val="00912C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D229"/>
  <w15:chartTrackingRefBased/>
  <w15:docId w15:val="{6AAFC37D-E907-4FB0-A5CD-740BF1306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2F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2F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2FD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2F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2FD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2FD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2FD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2FD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2FD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2F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2FD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2FD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2FD0"/>
    <w:rPr>
      <w:rFonts w:cstheme="majorBidi"/>
      <w:color w:val="0F4761" w:themeColor="accent1" w:themeShade="BF"/>
      <w:sz w:val="28"/>
      <w:szCs w:val="28"/>
    </w:rPr>
  </w:style>
  <w:style w:type="character" w:customStyle="1" w:styleId="50">
    <w:name w:val="标题 5 字符"/>
    <w:basedOn w:val="a0"/>
    <w:link w:val="5"/>
    <w:uiPriority w:val="9"/>
    <w:semiHidden/>
    <w:rsid w:val="00652FD0"/>
    <w:rPr>
      <w:rFonts w:cstheme="majorBidi"/>
      <w:color w:val="0F4761" w:themeColor="accent1" w:themeShade="BF"/>
      <w:sz w:val="24"/>
    </w:rPr>
  </w:style>
  <w:style w:type="character" w:customStyle="1" w:styleId="60">
    <w:name w:val="标题 6 字符"/>
    <w:basedOn w:val="a0"/>
    <w:link w:val="6"/>
    <w:uiPriority w:val="9"/>
    <w:semiHidden/>
    <w:rsid w:val="00652FD0"/>
    <w:rPr>
      <w:rFonts w:cstheme="majorBidi"/>
      <w:b/>
      <w:bCs/>
      <w:color w:val="0F4761" w:themeColor="accent1" w:themeShade="BF"/>
    </w:rPr>
  </w:style>
  <w:style w:type="character" w:customStyle="1" w:styleId="70">
    <w:name w:val="标题 7 字符"/>
    <w:basedOn w:val="a0"/>
    <w:link w:val="7"/>
    <w:uiPriority w:val="9"/>
    <w:semiHidden/>
    <w:rsid w:val="00652FD0"/>
    <w:rPr>
      <w:rFonts w:cstheme="majorBidi"/>
      <w:b/>
      <w:bCs/>
      <w:color w:val="595959" w:themeColor="text1" w:themeTint="A6"/>
    </w:rPr>
  </w:style>
  <w:style w:type="character" w:customStyle="1" w:styleId="80">
    <w:name w:val="标题 8 字符"/>
    <w:basedOn w:val="a0"/>
    <w:link w:val="8"/>
    <w:uiPriority w:val="9"/>
    <w:semiHidden/>
    <w:rsid w:val="00652FD0"/>
    <w:rPr>
      <w:rFonts w:cstheme="majorBidi"/>
      <w:color w:val="595959" w:themeColor="text1" w:themeTint="A6"/>
    </w:rPr>
  </w:style>
  <w:style w:type="character" w:customStyle="1" w:styleId="90">
    <w:name w:val="标题 9 字符"/>
    <w:basedOn w:val="a0"/>
    <w:link w:val="9"/>
    <w:uiPriority w:val="9"/>
    <w:semiHidden/>
    <w:rsid w:val="00652FD0"/>
    <w:rPr>
      <w:rFonts w:eastAsiaTheme="majorEastAsia" w:cstheme="majorBidi"/>
      <w:color w:val="595959" w:themeColor="text1" w:themeTint="A6"/>
    </w:rPr>
  </w:style>
  <w:style w:type="paragraph" w:styleId="a3">
    <w:name w:val="Title"/>
    <w:basedOn w:val="a"/>
    <w:next w:val="a"/>
    <w:link w:val="a4"/>
    <w:uiPriority w:val="10"/>
    <w:qFormat/>
    <w:rsid w:val="00652FD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2F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2FD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2F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2FD0"/>
    <w:pPr>
      <w:spacing w:before="160"/>
      <w:jc w:val="center"/>
    </w:pPr>
    <w:rPr>
      <w:i/>
      <w:iCs/>
      <w:color w:val="404040" w:themeColor="text1" w:themeTint="BF"/>
    </w:rPr>
  </w:style>
  <w:style w:type="character" w:customStyle="1" w:styleId="a8">
    <w:name w:val="引用 字符"/>
    <w:basedOn w:val="a0"/>
    <w:link w:val="a7"/>
    <w:uiPriority w:val="29"/>
    <w:rsid w:val="00652FD0"/>
    <w:rPr>
      <w:i/>
      <w:iCs/>
      <w:color w:val="404040" w:themeColor="text1" w:themeTint="BF"/>
    </w:rPr>
  </w:style>
  <w:style w:type="paragraph" w:styleId="a9">
    <w:name w:val="List Paragraph"/>
    <w:basedOn w:val="a"/>
    <w:uiPriority w:val="34"/>
    <w:qFormat/>
    <w:rsid w:val="00652FD0"/>
    <w:pPr>
      <w:ind w:left="720"/>
      <w:contextualSpacing/>
    </w:pPr>
  </w:style>
  <w:style w:type="character" w:styleId="aa">
    <w:name w:val="Intense Emphasis"/>
    <w:basedOn w:val="a0"/>
    <w:uiPriority w:val="21"/>
    <w:qFormat/>
    <w:rsid w:val="00652FD0"/>
    <w:rPr>
      <w:i/>
      <w:iCs/>
      <w:color w:val="0F4761" w:themeColor="accent1" w:themeShade="BF"/>
    </w:rPr>
  </w:style>
  <w:style w:type="paragraph" w:styleId="ab">
    <w:name w:val="Intense Quote"/>
    <w:basedOn w:val="a"/>
    <w:next w:val="a"/>
    <w:link w:val="ac"/>
    <w:uiPriority w:val="30"/>
    <w:qFormat/>
    <w:rsid w:val="00652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2FD0"/>
    <w:rPr>
      <w:i/>
      <w:iCs/>
      <w:color w:val="0F4761" w:themeColor="accent1" w:themeShade="BF"/>
    </w:rPr>
  </w:style>
  <w:style w:type="character" w:styleId="ad">
    <w:name w:val="Intense Reference"/>
    <w:basedOn w:val="a0"/>
    <w:uiPriority w:val="32"/>
    <w:qFormat/>
    <w:rsid w:val="00652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513788">
      <w:bodyDiv w:val="1"/>
      <w:marLeft w:val="0"/>
      <w:marRight w:val="0"/>
      <w:marTop w:val="0"/>
      <w:marBottom w:val="0"/>
      <w:divBdr>
        <w:top w:val="none" w:sz="0" w:space="0" w:color="auto"/>
        <w:left w:val="none" w:sz="0" w:space="0" w:color="auto"/>
        <w:bottom w:val="none" w:sz="0" w:space="0" w:color="auto"/>
        <w:right w:val="none" w:sz="0" w:space="0" w:color="auto"/>
      </w:divBdr>
    </w:div>
    <w:div w:id="210699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1074</Words>
  <Characters>6122</Characters>
  <Application>Microsoft Office Word</Application>
  <DocSecurity>0</DocSecurity>
  <Lines>51</Lines>
  <Paragraphs>14</Paragraphs>
  <ScaleCrop>false</ScaleCrop>
  <Company/>
  <LinksUpToDate>false</LinksUpToDate>
  <CharactersWithSpaces>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Binjie Ni</dc:creator>
  <cp:keywords/>
  <dc:description/>
  <cp:lastModifiedBy>Binjie Ni</cp:lastModifiedBy>
  <cp:revision>1</cp:revision>
  <dcterms:created xsi:type="dcterms:W3CDTF">2025-06-22T23:30:00Z</dcterms:created>
  <dcterms:modified xsi:type="dcterms:W3CDTF">2025-06-22T23:31:00Z</dcterms:modified>
</cp:coreProperties>
</file>