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第一章：巴菲特论“市场/机构”</w:t>
      </w:r>
    </w:p>
    <w:p>
      <w:pPr>
        <w:pStyle w:val="Heading2"/>
      </w:pPr>
      <w:r>
        <w:t>《巴菲特致股东的信1986》价值与价格关系</w:t>
      </w:r>
    </w:p>
    <w:p>
      <w:r>
        <w:t>In candy, as in stocks, price and value can differ; price is what you give, value is what you get.</w:t>
      </w:r>
    </w:p>
    <w:p>
      <w:r>
        <w:t>就像糖果一样，股票的价格与价值可能截然不同；价格是你付出的，价值才是你得到的。</w:t>
      </w:r>
    </w:p>
    <w:p>
      <w:r>
        <w:t>【解读】巴菲特通过糖果行业的比喻，强调投资者应关注企业的内在价值而非股价波动。这一观念奠定了其日后‘买得便宜，持得长久’的估值思想基础。</w:t>
      </w:r>
    </w:p>
    <w:p>
      <w:pPr>
        <w:pStyle w:val="Heading2"/>
      </w:pPr>
      <w:r>
        <w:t>《巴菲特给股东的信1990》巴菲特再论市场</w:t>
      </w:r>
    </w:p>
    <w:p>
      <w:r>
        <w:t>Ideally, the results of every Berkshire shareholder would closely mirror those of the company during his period of ownership. That is why Charlie Munger and I hope for Berkshire to sell consistently at about intrinsic value. We prefer such steadiness to the value-ignoring volatility of the past two years.</w:t>
      </w:r>
    </w:p>
    <w:p>
      <w:r>
        <w:t>理想状态下，所有伯克希尔股东在持股期间的收益应与公司业绩高度一致。因此，我和查理·芒格希望伯克希尔的股价能始终围绕内在价值波动，而不是出现前两年那种与价值脱节的剧烈起伏。</w:t>
      </w:r>
    </w:p>
    <w:p>
      <w:r>
        <w:t>【解读】巴菲特提醒股东：真正重要的是公司内在价值的复利增长，而非短期价格表现。稳定对齐的估值既保护了长期投资者，也压缩了市场情绪带来的‘误差’。</w:t>
      </w:r>
    </w:p>
    <w:p>
      <w:pPr>
        <w:pStyle w:val="Heading2"/>
      </w:pPr>
      <w:r>
        <w:t>《巴菲特致股东的信1992》巴菲特再论二级市场与新股市场</w:t>
      </w:r>
    </w:p>
    <w:p>
      <w:r>
        <w:t>Our overall performance with negotiated purchases has been inferior to that we have achieved with purchases made in the secondary market. This corresponds with our belief that an intelligent investor in common stocks will do better in the secondary market than he will buying new issues. The reason has to do with the way prices are set in each instance.</w:t>
      </w:r>
    </w:p>
    <w:p>
      <w:r>
        <w:t>我们通过谈判购入的交易整体表现不及在二级市场的公开买入。这与我们的信念相符：聪明的普通股投资者在二级市场往往比在新股发行市场表现更好。其根源在于两种市场定价机制的差异。</w:t>
      </w:r>
    </w:p>
    <w:p>
      <w:r>
        <w:t>【解读】巴菲特深刻拆解一级、二级市场的‘定价权’差别：一级市场由卖方主导，难有便宜货；二级市场则常受情绪左右，才可能出现‘半价’机会。</w:t>
      </w:r>
    </w:p>
    <w:p>
      <w:pPr>
        <w:pStyle w:val="Heading2"/>
      </w:pPr>
      <w:r>
        <w:t>《巴菲特致股东的信1997》我们如何看待股市波动</w:t>
      </w:r>
    </w:p>
    <w:p>
      <w:r>
        <w:t>In a bull market, one must avoid the error of the preening duck that quacks boastfully after a torrential rainstorm, thinking that its paddling skills have caused it to rise in the world.</w:t>
      </w:r>
    </w:p>
    <w:p>
      <w:r>
        <w:t>在牛市里，投资者切忌成为那只自鸣得意的鸭子——暴雨袭来，水面抬升，鸭子以为是自己奋力扑腾的本领让它飞黄腾达。</w:t>
      </w:r>
    </w:p>
    <w:p>
      <w:r>
        <w:t>【解读】巴菲特用幽默的鸭子故事告诫投资者：牛市中的出色收益往往源于整体水位的抬升，而非个人能力。保持谦逊、聚焦价值，是穿越周期的关键。</w:t>
      </w:r>
    </w:p>
    <w:p>
      <w:pPr>
        <w:pStyle w:val="Heading2"/>
      </w:pPr>
      <w:r>
        <w:t>《伯克希尔股东大会实录2009》价值投资的基本技法</w:t>
      </w:r>
    </w:p>
    <w:p>
      <w:r>
        <w:t>If I were to teach value investing at a business school, I would have just two courses: (1) How to value a business; (2) How to think about market prices.</w:t>
      </w:r>
    </w:p>
    <w:p>
      <w:r>
        <w:t>如果让我在商学院教授价值投资，我只开两门课：(1) 如何给企业估值；(2) 如何看待市场价格。</w:t>
      </w:r>
    </w:p>
    <w:p>
      <w:r>
        <w:t>【解读】巴菲特将价值投资浓缩为‘估值’与‘价格’的双重思考：先算清企业实际价值，再判断市场报价是否足够安全。逻辑简单，却需要极高的定力和框架化思维。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