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CA5F" w14:textId="77777777" w:rsidR="00963A22" w:rsidRPr="00963A22" w:rsidRDefault="00963A22" w:rsidP="00963A22">
      <w:pPr>
        <w:rPr>
          <w:b/>
          <w:bCs/>
        </w:rPr>
      </w:pPr>
      <w:r w:rsidRPr="00963A22">
        <w:rPr>
          <w:b/>
          <w:bCs/>
        </w:rPr>
        <w:t>卡拉曼主义：</w:t>
      </w:r>
      <w:proofErr w:type="gramStart"/>
      <w:r w:rsidRPr="00963A22">
        <w:rPr>
          <w:b/>
          <w:bCs/>
        </w:rPr>
        <w:t>一</w:t>
      </w:r>
      <w:proofErr w:type="gramEnd"/>
      <w:r w:rsidRPr="00963A22">
        <w:rPr>
          <w:b/>
          <w:bCs/>
        </w:rPr>
        <w:t>套用于价值投资分析与执行的</w:t>
      </w:r>
      <w:proofErr w:type="gramStart"/>
      <w:r w:rsidRPr="00963A22">
        <w:rPr>
          <w:b/>
          <w:bCs/>
        </w:rPr>
        <w:t>机构级</w:t>
      </w:r>
      <w:proofErr w:type="gramEnd"/>
      <w:r w:rsidRPr="00963A22">
        <w:rPr>
          <w:b/>
          <w:bCs/>
        </w:rPr>
        <w:t>框架</w:t>
      </w:r>
    </w:p>
    <w:p w14:paraId="5FAF907A" w14:textId="77777777" w:rsidR="00963A22" w:rsidRPr="00963A22" w:rsidRDefault="00963A22" w:rsidP="00963A22">
      <w:pPr>
        <w:rPr>
          <w:b/>
          <w:bCs/>
        </w:rPr>
      </w:pPr>
      <w:r w:rsidRPr="00963A22">
        <w:rPr>
          <w:b/>
          <w:bCs/>
        </w:rPr>
        <w:t>第一部分：哲学基础：价值投资的“道”</w:t>
      </w:r>
    </w:p>
    <w:p w14:paraId="6D467CB9" w14:textId="77777777" w:rsidR="00963A22" w:rsidRPr="00963A22" w:rsidRDefault="00963A22" w:rsidP="00963A22">
      <w:r w:rsidRPr="00963A22">
        <w:t>本部分旨在构建价值投资所需的核心逻辑与心理纪律。对于一个人工智能（AI）系统而言，本部分定义了支配其后所有分析模块的基础公理与目标函数。若无此基础，AI将仅仅是一个计算器，而非一个价值投资者。</w:t>
      </w:r>
    </w:p>
    <w:p w14:paraId="442BAE55" w14:textId="77777777" w:rsidR="00963A22" w:rsidRPr="00963A22" w:rsidRDefault="00963A22" w:rsidP="00963A22">
      <w:pPr>
        <w:rPr>
          <w:b/>
          <w:bCs/>
        </w:rPr>
      </w:pPr>
      <w:r w:rsidRPr="00963A22">
        <w:rPr>
          <w:b/>
          <w:bCs/>
        </w:rPr>
        <w:t>第一节 价值投资者的心智模式：核心公理</w:t>
      </w:r>
    </w:p>
    <w:p w14:paraId="5ACBC6B9" w14:textId="77777777" w:rsidR="00963A22" w:rsidRPr="00963A22" w:rsidRDefault="00963A22" w:rsidP="00963A22">
      <w:pPr>
        <w:rPr>
          <w:b/>
          <w:bCs/>
        </w:rPr>
      </w:pPr>
      <w:r w:rsidRPr="00963A22">
        <w:rPr>
          <w:b/>
          <w:bCs/>
        </w:rPr>
        <w:t>1.1 资本保全的首要性（目标函数）</w:t>
      </w:r>
    </w:p>
    <w:p w14:paraId="56938ADC" w14:textId="77777777" w:rsidR="00963A22" w:rsidRPr="00963A22" w:rsidRDefault="00963A22" w:rsidP="00963A22">
      <w:r w:rsidRPr="00963A22">
        <w:t xml:space="preserve">价值投资哲学的基石，也是其区别于其他投资方法的根本所在，是对资本保全的绝对优先。沃伦·巴菲特（Warren Buffett）的名言——投资的第一条规则是“不要亏钱”，第二条规则是“永远不要忘记第一条规则”——被塞斯·卡拉曼（Seth Klarman）奉为圭臬 。这一原则并非要求投资者规避所有风险，从而杜绝任何形式的亏损，而是强调在一个合理的投资周期（通常为数年）内，投资组合不应面临“可观的本金损失” 。其核心在于区分“暂时性的价格波动”与“永久性的价值损伤”，前者的风险是市场情绪的产物，而后者才是资本的真正敌人 。在一份对卡拉曼投资框架的总结中，这一理念被精炼为“风险优先于收益” 。   </w:t>
      </w:r>
    </w:p>
    <w:p w14:paraId="75430A16" w14:textId="77777777" w:rsidR="00963A22" w:rsidRPr="00963A22" w:rsidRDefault="00963A22" w:rsidP="00963A22">
      <w:r w:rsidRPr="00963A22">
        <w:t>对于一个AI分析系统而言，这构成了其最根本的目标函数。系统的首要任务不是最大化名义回报，而是</w:t>
      </w:r>
      <w:proofErr w:type="gramStart"/>
      <w:r w:rsidRPr="00963A22">
        <w:t>最大化经</w:t>
      </w:r>
      <w:proofErr w:type="gramEnd"/>
      <w:r w:rsidRPr="00963A22">
        <w:t>风险调整后的回报，并对任何可能导致永久性资本损失的决策施加极大的、非线性的惩罚。资本的增长路径具有依赖性：一次50%的盈利后紧接着一次50%的亏损，其</w:t>
      </w:r>
      <w:proofErr w:type="gramStart"/>
      <w:r w:rsidRPr="00963A22">
        <w:t>净结果</w:t>
      </w:r>
      <w:proofErr w:type="gramEnd"/>
      <w:r w:rsidRPr="00963A22">
        <w:t xml:space="preserve">是25%的亏损。AI必须深刻理解这种复利的非对称性。卡拉曼指出，多数投资者专注于“他们能赚多少钱”，而价值投资者则首先考虑“他们会损失多少钱” 。其背后的数学逻辑是，一次巨大的损失所造成的破坏性影响，需要多年持续的成功才能弥补。例如，一个在十年间每年稳定获得16%回报的投资者，其最终财富将超过一个在九年内每年盈利20%、但在第十年亏损15%的投资者 。   </w:t>
      </w:r>
    </w:p>
    <w:p w14:paraId="27E6EAF9" w14:textId="77777777" w:rsidR="00963A22" w:rsidRPr="00963A22" w:rsidRDefault="00963A22" w:rsidP="00963A22">
      <w:r w:rsidRPr="00963A22">
        <w:t>因此，AI的效用函数设计必须体现这种风险厌恶。对于收益，其效用函数应是凹形的（边际效用递减），而对于亏损，其不效用函数（disutility function）则必须是凸形且陡峭的（边际痛苦递增）。这种数学上的不对称性，将资本保全的哲学思想固化为AI决策的核心逻辑。</w:t>
      </w:r>
    </w:p>
    <w:p w14:paraId="60D12B65" w14:textId="77777777" w:rsidR="00963A22" w:rsidRPr="00963A22" w:rsidRDefault="00963A22" w:rsidP="00963A22">
      <w:pPr>
        <w:rPr>
          <w:b/>
          <w:bCs/>
        </w:rPr>
      </w:pPr>
      <w:r w:rsidRPr="00963A22">
        <w:rPr>
          <w:b/>
          <w:bCs/>
        </w:rPr>
        <w:t>1.2 投资与投机：“交易用沙丁鱼”协议</w:t>
      </w:r>
    </w:p>
    <w:p w14:paraId="537AB2D5" w14:textId="77777777" w:rsidR="00963A22" w:rsidRPr="00963A22" w:rsidRDefault="00963A22" w:rsidP="00963A22">
      <w:r w:rsidRPr="00963A22">
        <w:t xml:space="preserve">卡拉曼对投资与投机进行了清晰且严格的界定，这是任何分析框架的第二个基本前提。投资者购买的是对标的企业的部分所有权，其决策基于对企业内在价值的评估 。而投机者交易的则是“纸片”，其决策依据是对他人心理和行为的预测，这本质上是一场“博傻游戏”（greater-fool game）。   </w:t>
      </w:r>
    </w:p>
    <w:p w14:paraId="252B79DC" w14:textId="77777777" w:rsidR="00963A22" w:rsidRPr="00963A22" w:rsidRDefault="00963A22" w:rsidP="00963A22">
      <w:r w:rsidRPr="00963A22">
        <w:t>卡拉曼引用的“交易用沙丁鱼”的寓言生动地揭示了二者的区别：当沙丁鱼罐头价格飞涨时，投机者们疯狂地交易，却从未有人打开罐头品尝。直到一位买家打开</w:t>
      </w:r>
      <w:proofErr w:type="gramStart"/>
      <w:r w:rsidRPr="00963A22">
        <w:t>一</w:t>
      </w:r>
      <w:proofErr w:type="gramEnd"/>
      <w:r w:rsidRPr="00963A22">
        <w:t xml:space="preserve">罐后发现沙丁鱼已经腐坏，卖家却说：“你不懂，这些不是用来吃的沙丁鱼，是用来交易的沙丁鱼” 。这个故事的核心在于，投机者关心的是资产的交易属性，而投资者关心的是资产的内在属性。   </w:t>
      </w:r>
    </w:p>
    <w:p w14:paraId="0FEEB6A8" w14:textId="77777777" w:rsidR="00963A22" w:rsidRPr="00963A22" w:rsidRDefault="00963A22" w:rsidP="00963A22">
      <w:r w:rsidRPr="00963A22">
        <w:t>AI系统必须内置一个协议，用以对其自身的潜在交易行为进行分类。在执行任何买入指令前，系统必须回答一个根本问题：“此项购买是基于对标的企业产生现金流的能力和资产价值的分析，还是基于对市场情绪驱动的价格波动的预期？”如果答案是后者，该行为将被标记为“投机”并予以禁止。</w:t>
      </w:r>
    </w:p>
    <w:p w14:paraId="53E1F451" w14:textId="77777777" w:rsidR="00963A22" w:rsidRPr="00963A22" w:rsidRDefault="00963A22" w:rsidP="00963A22">
      <w:r w:rsidRPr="00963A22">
        <w:t>卡拉曼定义了投资者的三种获利途径：1）企业产生的自由现金流，最终将反映于股价上涨或股息分配；2）市场愿意为该企业支付的估值倍数（如市盈率、</w:t>
      </w:r>
      <w:proofErr w:type="gramStart"/>
      <w:r w:rsidRPr="00963A22">
        <w:t>市净率</w:t>
      </w:r>
      <w:proofErr w:type="gramEnd"/>
      <w:r w:rsidRPr="00963A22">
        <w:t>）提升；3）股价与内在价值之间的折扣收窄 。这三条路径都根植于企业的基本面。AI的决策逻辑必须严格</w:t>
      </w:r>
      <w:proofErr w:type="gramStart"/>
      <w:r w:rsidRPr="00963A22">
        <w:t>锚</w:t>
      </w:r>
      <w:proofErr w:type="gramEnd"/>
      <w:r w:rsidRPr="00963A22">
        <w:t xml:space="preserve">定在这三个基本面驱动的价值实现方式上。这一协议是AI的第一道防火墙，能有效阻止其被卷入纯粹由市场叙事或动量驱动、而无基本面支撑的交易狂潮中。   </w:t>
      </w:r>
    </w:p>
    <w:p w14:paraId="1E66A47D" w14:textId="77777777" w:rsidR="00963A22" w:rsidRPr="00963A22" w:rsidRDefault="00963A22" w:rsidP="00963A22">
      <w:pPr>
        <w:rPr>
          <w:b/>
          <w:bCs/>
        </w:rPr>
      </w:pPr>
      <w:r w:rsidRPr="00963A22">
        <w:rPr>
          <w:b/>
          <w:bCs/>
        </w:rPr>
        <w:t>1.3 “市场先生”寓言：利用波动的操作框架</w:t>
      </w:r>
    </w:p>
    <w:p w14:paraId="62C119D0" w14:textId="77777777" w:rsidR="00963A22" w:rsidRPr="00963A22" w:rsidRDefault="00963A22" w:rsidP="00963A22">
      <w:r w:rsidRPr="00963A22">
        <w:lastRenderedPageBreak/>
        <w:t xml:space="preserve">本杰明·格雷厄姆（Benjamin Graham）的“市场先生”（Mr. Market）寓言是价值投资的核心操作模型。市场先生被描绘成一个情绪化的商业伙伴，他每天都会出现，报出一个他愿意买入你的股份或卖给你他的股份的价格。他的报价时常受到极度的乐观或悲观情绪影响，因此往往是非理性的 。成功的投资者利用他的情绪波动为自己服务，以低价从悲观的他手中买入，以高价卖给乐观的他。失败的投资者则被他的情绪所左右，把他的报价当作价值的最终裁决。   </w:t>
      </w:r>
    </w:p>
    <w:p w14:paraId="25082891" w14:textId="77777777" w:rsidR="00963A22" w:rsidRPr="00963A22" w:rsidRDefault="00963A22" w:rsidP="00963A22">
      <w:r w:rsidRPr="00963A22">
        <w:t>这个寓言为AI定义了一个至关重要的操作框架：市场价格不是价值信息的来源，而是机会的来源。市场价格是一个“出价”（offer），而不是一个“判决”（verdict）。AI系统必须将其内部独立计算的内在价值作为“真理”的基准，而将市场价格视为一个需要与此基准进行比较的变量。</w:t>
      </w:r>
    </w:p>
    <w:p w14:paraId="4508FAA6" w14:textId="77777777" w:rsidR="00963A22" w:rsidRPr="00963A22" w:rsidRDefault="00963A22" w:rsidP="00963A22">
      <w:r w:rsidRPr="00963A22">
        <w:t xml:space="preserve">卡拉曼明确指出：“如果你将市场先生视为投资机会的创造者……你就具备了成为价值投资者的素质。如果你坚持向市场先生寻求投资指导……你最好还是雇别人来管理你的钱。” 。这揭示了一种单向的信息流：AI利用其内在估值来判断市场价格，但绝不能让市场价格反过来影响其内在估值。   </w:t>
      </w:r>
    </w:p>
    <w:p w14:paraId="04848016" w14:textId="77777777" w:rsidR="00963A22" w:rsidRPr="00963A22" w:rsidRDefault="00963A22" w:rsidP="00963A22">
      <w:r w:rsidRPr="00963A22">
        <w:t xml:space="preserve">这一原则保护了AI免受负面反馈循环的干扰。例如，当一只股票价格下跌后，多数人会感到恐慌，认为市场先生知道一些他们不知道的坏消息，从而匆忙卖出。而价值投资者（或AI）若其内在估值未变，则会将更低的价格视为一个更好的买入机会。反之亦然。这种机制将AI与卡拉曼所描述的由贪婪和恐惧驱动的“昂贵的情绪”隔离开来 。   </w:t>
      </w:r>
    </w:p>
    <w:p w14:paraId="6A326DEF" w14:textId="77777777" w:rsidR="00963A22" w:rsidRPr="00963A22" w:rsidRDefault="00963A22" w:rsidP="00963A22">
      <w:pPr>
        <w:rPr>
          <w:b/>
          <w:bCs/>
        </w:rPr>
      </w:pPr>
      <w:r w:rsidRPr="00963A22">
        <w:rPr>
          <w:b/>
          <w:bCs/>
        </w:rPr>
        <w:t>1.4 绝对业绩与相对业绩：拒绝机构竞赛</w:t>
      </w:r>
    </w:p>
    <w:p w14:paraId="2BB04E88" w14:textId="77777777" w:rsidR="00963A22" w:rsidRPr="00963A22" w:rsidRDefault="00963A22" w:rsidP="00963A22">
      <w:r w:rsidRPr="00963A22">
        <w:t>卡拉曼对机构投资者普遍参与的“短期相对业绩竞赛”提出了尖锐的批评 。这种竞赛迫使基金经理追逐市场热点、时刻保持满仓，并宁愿选择“可接受的平庸”，也不愿承担因采取非传统策略而</w:t>
      </w:r>
      <w:proofErr w:type="gramStart"/>
      <w:r w:rsidRPr="00963A22">
        <w:t>可能跑输基准</w:t>
      </w:r>
      <w:proofErr w:type="gramEnd"/>
      <w:r w:rsidRPr="00963A22">
        <w:t xml:space="preserve">的风险。价值投资者的目标是绝对回报，因为正如卡拉曼所言：“毕竟，你不能拿相对业绩去消费” 。   </w:t>
      </w:r>
    </w:p>
    <w:p w14:paraId="25C16FAE" w14:textId="77777777" w:rsidR="00963A22" w:rsidRPr="00963A22" w:rsidRDefault="00963A22" w:rsidP="00963A22">
      <w:r w:rsidRPr="00963A22">
        <w:t xml:space="preserve">因此，AI的业绩基准必须是一个绝对标准，例如“美国短期国债利率 + 一个合理的风险溢价”，而不是一个相对的市场指数，如标准普尔500指数。这一设定具有深远的架构意义，它为持有现金提供了合理的依据。如果AI在其“狩猎场”中找不到任何满足其绝对回报阈值的投资机会，其默认操作就是“不作为”并持有现金。在卡拉曼的体系中，现金并非无所作为的沉淀资金，而是一种战略性资产，是等待机会的“干火药” 。   </w:t>
      </w:r>
    </w:p>
    <w:p w14:paraId="08E62980" w14:textId="77777777" w:rsidR="00963A22" w:rsidRPr="00963A22" w:rsidRDefault="00963A22" w:rsidP="00963A22">
      <w:r w:rsidRPr="00963A22">
        <w:t>这种绝对业绩导向的逻辑如下：</w:t>
      </w:r>
    </w:p>
    <w:p w14:paraId="00D2CB53" w14:textId="77777777" w:rsidR="00963A22" w:rsidRPr="00963A22" w:rsidRDefault="00963A22" w:rsidP="00963A22">
      <w:pPr>
        <w:numPr>
          <w:ilvl w:val="0"/>
          <w:numId w:val="1"/>
        </w:numPr>
      </w:pPr>
      <w:r w:rsidRPr="00963A22">
        <w:t>相对业绩导向迫使基金经理购买流行的、通常被高估的股票，以</w:t>
      </w:r>
      <w:proofErr w:type="gramStart"/>
      <w:r w:rsidRPr="00963A22">
        <w:t>跟上指数</w:t>
      </w:r>
      <w:proofErr w:type="gramEnd"/>
      <w:r w:rsidRPr="00963A22">
        <w:t>的步伐；同时，也迫使他们卖出不受欢迎的、可能被低估但暂时表现不佳的股票。</w:t>
      </w:r>
    </w:p>
    <w:p w14:paraId="31CEEEFE" w14:textId="77777777" w:rsidR="00963A22" w:rsidRPr="00963A22" w:rsidRDefault="00963A22" w:rsidP="00963A22">
      <w:pPr>
        <w:numPr>
          <w:ilvl w:val="0"/>
          <w:numId w:val="1"/>
        </w:numPr>
      </w:pPr>
      <w:r w:rsidRPr="00963A22">
        <w:t>这种行为本身就是价值投资者所利用的“市场无效性”的主要来源之一。</w:t>
      </w:r>
    </w:p>
    <w:p w14:paraId="6AB356D2" w14:textId="77777777" w:rsidR="00963A22" w:rsidRPr="00963A22" w:rsidRDefault="00963A22" w:rsidP="00963A22">
      <w:pPr>
        <w:numPr>
          <w:ilvl w:val="0"/>
          <w:numId w:val="1"/>
        </w:numPr>
      </w:pPr>
      <w:r w:rsidRPr="00963A22">
        <w:t>通过为AI设定一个绝对业绩目标，系统在结构上就与制造机会的羊群行为隔离开来。它能够耐心等待“甜蜜区的投球”（fat pitch），而其他参与者则被迫对每一个投球都挥棒。</w:t>
      </w:r>
    </w:p>
    <w:p w14:paraId="7D16A5BE" w14:textId="77777777" w:rsidR="00963A22" w:rsidRPr="00963A22" w:rsidRDefault="00963A22" w:rsidP="00963A22">
      <w:pPr>
        <w:rPr>
          <w:b/>
          <w:bCs/>
        </w:rPr>
      </w:pPr>
      <w:r w:rsidRPr="00963A22">
        <w:rPr>
          <w:b/>
          <w:bCs/>
        </w:rPr>
        <w:t>第二节 安全边际：核心概念</w:t>
      </w:r>
    </w:p>
    <w:p w14:paraId="68E15E4F" w14:textId="77777777" w:rsidR="00963A22" w:rsidRPr="00963A22" w:rsidRDefault="00963A22" w:rsidP="00963A22">
      <w:pPr>
        <w:rPr>
          <w:b/>
          <w:bCs/>
        </w:rPr>
      </w:pPr>
      <w:r w:rsidRPr="00963A22">
        <w:rPr>
          <w:b/>
          <w:bCs/>
        </w:rPr>
        <w:t>2.1 安全边际的定义</w:t>
      </w:r>
    </w:p>
    <w:p w14:paraId="28EBF94F" w14:textId="77777777" w:rsidR="00963A22" w:rsidRPr="00963A22" w:rsidRDefault="00963A22" w:rsidP="00963A22">
      <w:r w:rsidRPr="00963A22">
        <w:t xml:space="preserve">安全边际是价值投资的“核心概念”和“稳健投资的秘诀” 。其定义为：“当证券的购买价格远低于其当前内在价值时，就获得了安全边际，这个差额为人类的错误、坏运气或复杂、不可预测且快速变化的世界中的极端波动留下了缓冲地带” 。它不仅是一个理想的选项，更是执行买入指令的先决条件。一份对卡拉曼操作细节的总结给出了一个量化的参考阈值：“价格低于内在价值50%时触发买入” 。   </w:t>
      </w:r>
    </w:p>
    <w:p w14:paraId="7FC801CB" w14:textId="77777777" w:rsidR="00963A22" w:rsidRPr="00963A22" w:rsidRDefault="00963A22" w:rsidP="00963A22">
      <w:r w:rsidRPr="00963A22">
        <w:t>安全边际是核心的风险管理工具。它承认了价值评估过程本身固有的</w:t>
      </w:r>
      <w:proofErr w:type="gramStart"/>
      <w:r w:rsidRPr="00963A22">
        <w:t>不</w:t>
      </w:r>
      <w:proofErr w:type="gramEnd"/>
      <w:r w:rsidRPr="00963A22">
        <w:t>精确性。卡拉曼强调，价值评估是一门“不精确的艺术”，而未来是“不可预测的” 。因此，即使对当前所有事实的评</w:t>
      </w:r>
      <w:r w:rsidRPr="00963A22">
        <w:lastRenderedPageBreak/>
        <w:t xml:space="preserve">估完美无瑕，由于未来可能发生变化，结果仍可能出错。安全边际是抵御这种不可化约的不确定性的唯一保障。它意味着投资者不必对未来做出完全准确的预测也能避免亏损。如果你以50美分的价格买入价值1美元的资产，即使其价值下跌到70美分，你的本金依然是安全的。   </w:t>
      </w:r>
    </w:p>
    <w:p w14:paraId="36F9CE7E" w14:textId="77777777" w:rsidR="00963A22" w:rsidRPr="00963A22" w:rsidRDefault="00963A22" w:rsidP="00963A22">
      <w:r w:rsidRPr="00963A22">
        <w:t>这正是价值投资能够将高回报与低风险联系起来的机制所在。提供有利的不对称风险回报关系的，不是资产的固有性质，而是购买价格与内在价值之间的折扣。</w:t>
      </w:r>
    </w:p>
    <w:p w14:paraId="28739A75" w14:textId="77777777" w:rsidR="00963A22" w:rsidRPr="00963A22" w:rsidRDefault="00963A22" w:rsidP="00963A22">
      <w:pPr>
        <w:rPr>
          <w:b/>
          <w:bCs/>
        </w:rPr>
      </w:pPr>
      <w:r w:rsidRPr="00963A22">
        <w:rPr>
          <w:b/>
          <w:bCs/>
        </w:rPr>
        <w:t>2.2 价格、价值与风险的关系</w:t>
      </w:r>
    </w:p>
    <w:p w14:paraId="75F93672" w14:textId="77777777" w:rsidR="00963A22" w:rsidRPr="00963A22" w:rsidRDefault="00963A22" w:rsidP="00963A22">
      <w:r w:rsidRPr="00963A22">
        <w:t xml:space="preserve">卡拉曼坚决驳斥了学术界普遍使用的Beta系数作为风险度量衡的观点。Beta将风险等同于历史价格的波动性，这在卡拉曼看来是荒谬的 。他认为，这种方法忽略了两个关键因素：一是价格水平，IBM的股票在每股50美元时的风险显然低于100美元时；二是具体的商业基本面。   </w:t>
      </w:r>
    </w:p>
    <w:p w14:paraId="74AA993D" w14:textId="77777777" w:rsidR="00963A22" w:rsidRPr="00963A22" w:rsidRDefault="00963A22" w:rsidP="00963A22">
      <w:r w:rsidRPr="00963A22">
        <w:t xml:space="preserve">在价值投资的框架中，风险被定义为“永久性资本损失的概率及其潜在数额” 。风险并非证券的静态属性，而是价格的函数。正如卡拉曼引用格雷厄姆的观点：“对于任何证券，[安全边际]在一个价格上会很大，在某个更高的价格上会变小，在某个更高的价格上则荡然无存！” 。   </w:t>
      </w:r>
    </w:p>
    <w:p w14:paraId="4FC5B3AB" w14:textId="77777777" w:rsidR="00963A22" w:rsidRPr="00963A22" w:rsidRDefault="00963A22" w:rsidP="00963A22">
      <w:r w:rsidRPr="00963A22">
        <w:t>因此，AI的风险模型必须是动态的，而非静态的。一个证券的风险评分不是一个固定的属性，而是关于（内在价值，市场价格）的函数。随着市场价格向内在价值靠拢，风险评分随之上升，安全边际则相应减小。这与大众普遍认为的“上涨的股票更安全”或“被市场验证为正确”的观点截然相反。</w:t>
      </w:r>
    </w:p>
    <w:p w14:paraId="6E8A805C" w14:textId="77777777" w:rsidR="00963A22" w:rsidRPr="00963A22" w:rsidRDefault="00963A22" w:rsidP="00963A22">
      <w:r w:rsidRPr="00963A22">
        <w:t>这种逻辑将风险与回报从资产本身解耦，并将其与具体的“交易”捆绑在一起。AI分析的不是公司的风险，而是以当前价格买入该公司股票这笔“交易”的风险。一个低廉的价格可以为一项本质上具有风险的投资（如一家周期性行业的公司）提供巨大的安全边际，而一个高昂的价格则可以使一项最优质的投资（如一家稳定的消费品公司）变得风险极高。</w:t>
      </w:r>
    </w:p>
    <w:p w14:paraId="526B3013" w14:textId="77777777" w:rsidR="00963A22" w:rsidRPr="00963A22" w:rsidRDefault="00963A22" w:rsidP="00963A22">
      <w:pPr>
        <w:rPr>
          <w:b/>
          <w:bCs/>
        </w:rPr>
      </w:pPr>
      <w:r w:rsidRPr="00963A22">
        <w:rPr>
          <w:b/>
          <w:bCs/>
        </w:rPr>
        <w:t>第二部分：操作框架：价值投资的“术”</w:t>
      </w:r>
    </w:p>
    <w:p w14:paraId="75201D0B" w14:textId="77777777" w:rsidR="00963A22" w:rsidRPr="00963A22" w:rsidRDefault="00963A22" w:rsidP="00963A22">
      <w:r w:rsidRPr="00963A22">
        <w:t>本部分将哲学理念转化为一系列可执行的操作。它是AI分析与决策模块的核心逻辑。</w:t>
      </w:r>
    </w:p>
    <w:p w14:paraId="6C072E86" w14:textId="77777777" w:rsidR="00963A22" w:rsidRPr="00963A22" w:rsidRDefault="00963A22" w:rsidP="00963A22">
      <w:pPr>
        <w:rPr>
          <w:b/>
          <w:bCs/>
        </w:rPr>
      </w:pPr>
      <w:r w:rsidRPr="00963A22">
        <w:rPr>
          <w:b/>
          <w:bCs/>
        </w:rPr>
        <w:t>第三节 价值的搜寻：系统性的投资机会生成方法</w:t>
      </w:r>
    </w:p>
    <w:p w14:paraId="6A90AA83" w14:textId="77777777" w:rsidR="00963A22" w:rsidRPr="00963A22" w:rsidRDefault="00963A22" w:rsidP="00963A22">
      <w:pPr>
        <w:rPr>
          <w:b/>
          <w:bCs/>
        </w:rPr>
      </w:pPr>
      <w:r w:rsidRPr="00963A22">
        <w:rPr>
          <w:b/>
          <w:bCs/>
        </w:rPr>
        <w:t>3.1 自下而上的方法</w:t>
      </w:r>
    </w:p>
    <w:p w14:paraId="4AEA49B7" w14:textId="77777777" w:rsidR="00963A22" w:rsidRPr="00963A22" w:rsidRDefault="00963A22" w:rsidP="00963A22">
      <w:r w:rsidRPr="00963A22">
        <w:t xml:space="preserve">价值投资本质上是一种“自下而上的策略” 。投资者“逐个证券地寻找便宜货”，并根据每个投资机会自身的优劣进行分析 。这与“自上而下的方法”形成鲜明对比，后者要求投资者连续准确地预测多个宏观趋势，卡拉曼认为这是一项“令人望而生畏的任务” 。一份对卡拉曼操作细节的总结也强调了“自下而上选股”的原则 。   </w:t>
      </w:r>
    </w:p>
    <w:p w14:paraId="191AE16D" w14:textId="77777777" w:rsidR="00963A22" w:rsidRPr="00963A22" w:rsidRDefault="00963A22" w:rsidP="00963A22">
      <w:r w:rsidRPr="00963A22">
        <w:t>AI的搜索算法必须是自下而上的。它</w:t>
      </w:r>
      <w:proofErr w:type="gramStart"/>
      <w:r w:rsidRPr="00963A22">
        <w:t>不</w:t>
      </w:r>
      <w:proofErr w:type="gramEnd"/>
      <w:r w:rsidRPr="00963A22">
        <w:t>应从一个宏观预测开始（例如，“利率将下降，所以我们应该寻找对利率敏感的股票”）。相反，它应该从扫描整个证券 universe 开始，寻找价格与价值之间的差异，只有在识别出潜在的便宜货之后，才将宏观环境作为影响该特定证券估值的一个变量来考虑。</w:t>
      </w:r>
    </w:p>
    <w:p w14:paraId="3746D450" w14:textId="77777777" w:rsidR="00963A22" w:rsidRPr="00963A22" w:rsidRDefault="00963A22" w:rsidP="00963A22">
      <w:r w:rsidRPr="00963A22">
        <w:t xml:space="preserve">卡拉曼认为，自上而下的投资是一场“更天才的游戏”，其中没有安全边际可言 。而自下而上的方法简化了问题。投资的赌注押在一个具体的、可分析的错误定价上，而不是一个不可预测的宏观未来。这使得投资论点是可检验的。AI可以持续检查“拥有该投资的理由是其价格远低于内在价值”这一条件是否仍然成立。而一个宏观的赌注则很难被证伪。   </w:t>
      </w:r>
    </w:p>
    <w:p w14:paraId="334BC001" w14:textId="77777777" w:rsidR="00963A22" w:rsidRPr="00963A22" w:rsidRDefault="00963A22" w:rsidP="00963A22">
      <w:pPr>
        <w:rPr>
          <w:b/>
          <w:bCs/>
        </w:rPr>
      </w:pPr>
      <w:r w:rsidRPr="00963A22">
        <w:rPr>
          <w:b/>
          <w:bCs/>
        </w:rPr>
        <w:t>3.2 狩猎场：在哪里寻找机会</w:t>
      </w:r>
    </w:p>
    <w:p w14:paraId="7C11B004" w14:textId="77777777" w:rsidR="00963A22" w:rsidRPr="00963A22" w:rsidRDefault="00963A22" w:rsidP="00963A22">
      <w:r w:rsidRPr="00963A22">
        <w:t>卡拉曼为价值投资者提供了一份详尽的“藏宝图”，指明了市场中最容易出现无效定价的领域。AI的投资机会生成模块应被设计成一系列并行的“狩猎机器人”，持续不断地在这些特定的肥沃土壤中进行搜寻。</w:t>
      </w:r>
    </w:p>
    <w:p w14:paraId="4D9A787F" w14:textId="77777777" w:rsidR="00963A22" w:rsidRPr="00963A22" w:rsidRDefault="00963A22" w:rsidP="00963A22">
      <w:pPr>
        <w:numPr>
          <w:ilvl w:val="0"/>
          <w:numId w:val="2"/>
        </w:numPr>
      </w:pPr>
      <w:r w:rsidRPr="00963A22">
        <w:rPr>
          <w:b/>
          <w:bCs/>
        </w:rPr>
        <w:t>狩猎机器人 1（量化筛选器）</w:t>
      </w:r>
      <w:r w:rsidRPr="00963A22">
        <w:t>：此模块执行定期的量化筛选。它扫描整个市场，寻找</w:t>
      </w:r>
      <w:r w:rsidRPr="00963A22">
        <w:lastRenderedPageBreak/>
        <w:t>那些在传统估值指标上显得便宜的证券，例如股价创下新低的公司、交易价格低于其清算价值或“纯粹营运资金净额”（Net-Net Working Capital）的公司 。这是价值投资</w:t>
      </w:r>
      <w:proofErr w:type="gramStart"/>
      <w:r w:rsidRPr="00963A22">
        <w:t>最</w:t>
      </w:r>
      <w:proofErr w:type="gramEnd"/>
      <w:r w:rsidRPr="00963A22">
        <w:t xml:space="preserve">经典的起点，旨在发现那些被市场普遍忽视的资产价值。   </w:t>
      </w:r>
    </w:p>
    <w:p w14:paraId="3A0D8178" w14:textId="77777777" w:rsidR="00963A22" w:rsidRPr="00963A22" w:rsidRDefault="00963A22" w:rsidP="00963A22">
      <w:pPr>
        <w:numPr>
          <w:ilvl w:val="0"/>
          <w:numId w:val="2"/>
        </w:numPr>
      </w:pPr>
      <w:r w:rsidRPr="00963A22">
        <w:rPr>
          <w:b/>
          <w:bCs/>
        </w:rPr>
        <w:t>狩猎机器人 2（事件驱动观察者）</w:t>
      </w:r>
      <w:r w:rsidRPr="00963A22">
        <w:t xml:space="preserve">：此模块专注于由特定公司行为创造的机会，这些行为往往会成为价值实现的催化剂。它通过解析新闻、监管文件和公司公告，寻找特定的关键词，如“分拆”（spinoff）、“第十一章破产保护”（Chapter 11）、“清算”（liquidation）、“合并协议”（merger agreement）、“配股”（rights offering）等 。这些“特殊情况”（special situations）是卡拉曼投资组合的标志性组成部分，因为它们往往涉及复杂的法律和财务结构，从而吓退了大多数投资者，并创造了价值洼地。例如，对惠普分拆或Kmart破产重组的成功押注，就是利用此类事件的典范 。   </w:t>
      </w:r>
    </w:p>
    <w:p w14:paraId="332CB090" w14:textId="77777777" w:rsidR="00963A22" w:rsidRPr="00963A22" w:rsidRDefault="00963A22" w:rsidP="00963A22">
      <w:pPr>
        <w:numPr>
          <w:ilvl w:val="0"/>
          <w:numId w:val="2"/>
        </w:numPr>
      </w:pPr>
      <w:r w:rsidRPr="00963A22">
        <w:rPr>
          <w:b/>
          <w:bCs/>
        </w:rPr>
        <w:t>狩猎机器人 3（逆向信号探测器）</w:t>
      </w:r>
      <w:r w:rsidRPr="00963A22">
        <w:t xml:space="preserve">：此模块旨在捕捉由市场情绪和机构行为造成的机会。它监控那些股价跌至52周新低的股票，以及那些在发布负面消息（如削减股息、盈利未达预期）后遭遇大规模机构抛售的股票 。卡拉曼指出，机构投资者往往受到各种非投资性约束的限制（例如，分拆出的子公司规模太小不值得持有、债券被降级后必须卖出、公司停止派息后不符合投资政策等），这种被迫的、对价格不敏感的卖出行为是价值投资者的主要机会来源。一份总结报告中甚至提到了设置“媒体情绪指数”，在市场情绪一边倒时进行反向操作的策略 。   </w:t>
      </w:r>
    </w:p>
    <w:p w14:paraId="547E413A" w14:textId="77777777" w:rsidR="00963A22" w:rsidRPr="00963A22" w:rsidRDefault="00963A22" w:rsidP="00963A22">
      <w:r w:rsidRPr="00963A22">
        <w:t>通过将AI的搜索资源集中在这些特定的领域，可以极大地提高发现错误定价证券的概率，这远比漫无目的地分析标准普尔500指数成分股要高效得多。这体现了“在鱼多的地方钓鱼”的智慧。</w:t>
      </w:r>
    </w:p>
    <w:p w14:paraId="0A9941C3" w14:textId="77777777" w:rsidR="00963A22" w:rsidRPr="00963A22" w:rsidRDefault="00963A22" w:rsidP="00963A22">
      <w:pPr>
        <w:rPr>
          <w:b/>
          <w:bCs/>
        </w:rPr>
      </w:pPr>
      <w:r w:rsidRPr="00963A22">
        <w:rPr>
          <w:b/>
          <w:bCs/>
        </w:rPr>
        <w:t>第四节 分析流程：尽职调查与投资论点构建</w:t>
      </w:r>
    </w:p>
    <w:p w14:paraId="347C9AB3" w14:textId="77777777" w:rsidR="00963A22" w:rsidRPr="00963A22" w:rsidRDefault="00963A22" w:rsidP="00963A22">
      <w:pPr>
        <w:rPr>
          <w:b/>
          <w:bCs/>
        </w:rPr>
      </w:pPr>
      <w:r w:rsidRPr="00963A22">
        <w:rPr>
          <w:b/>
          <w:bCs/>
        </w:rPr>
        <w:t>4.1 核心问题：它为什么便宜？</w:t>
      </w:r>
    </w:p>
    <w:p w14:paraId="2B479C18" w14:textId="77777777" w:rsidR="00963A22" w:rsidRPr="00963A22" w:rsidRDefault="00963A22" w:rsidP="00963A22">
      <w:r w:rsidRPr="00963A22">
        <w:t xml:space="preserve">在通过“狩猎机器人”发现一个看似便宜的投资机会后，AI的尽职调查协议必须启动，其第一步是回答一个核心问题：“它为什么便宜？” 。卡拉曼用一个生动的比喻来说明这一点：如果你在郊区看到一栋售价仅为市价一半的房子，你的第一反应不应是“多好的便宜货！”，而应是“它有什么问题？”。   </w:t>
      </w:r>
    </w:p>
    <w:p w14:paraId="753C211A" w14:textId="77777777" w:rsidR="00963A22" w:rsidRPr="00963A22" w:rsidRDefault="00963A22" w:rsidP="00963A22">
      <w:r w:rsidRPr="00963A22">
        <w:t>AI必须对导致价格低估的原因进行分类，这是风险评估的关键步骤：</w:t>
      </w:r>
    </w:p>
    <w:p w14:paraId="1ECEE13A" w14:textId="77777777" w:rsidR="00963A22" w:rsidRPr="00963A22" w:rsidRDefault="00963A22" w:rsidP="00963A22">
      <w:pPr>
        <w:numPr>
          <w:ilvl w:val="0"/>
          <w:numId w:val="3"/>
        </w:numPr>
      </w:pPr>
      <w:r w:rsidRPr="00963A22">
        <w:rPr>
          <w:b/>
          <w:bCs/>
        </w:rPr>
        <w:t>第一类（理想情况）：技术性/结构性原因。</w:t>
      </w:r>
      <w:r w:rsidRPr="00963A22">
        <w:t xml:space="preserve"> 这包括由于机构投资者的规则限制（如强制卖出小盘</w:t>
      </w:r>
      <w:proofErr w:type="gramStart"/>
      <w:r w:rsidRPr="00963A22">
        <w:t>股分</w:t>
      </w:r>
      <w:proofErr w:type="gramEnd"/>
      <w:r w:rsidRPr="00963A22">
        <w:t>拆）、指数调整、</w:t>
      </w:r>
      <w:proofErr w:type="gramStart"/>
      <w:r w:rsidRPr="00963A22">
        <w:t>年底税损抛售</w:t>
      </w:r>
      <w:proofErr w:type="gramEnd"/>
      <w:r w:rsidRPr="00963A22">
        <w:t xml:space="preserve">或证券本身的复杂性导致的抛售。这种卖出行为与公司的基本面无关，因此创造了最纯粹的投资机会 。   </w:t>
      </w:r>
    </w:p>
    <w:p w14:paraId="01A32E70" w14:textId="77777777" w:rsidR="00963A22" w:rsidRPr="00963A22" w:rsidRDefault="00963A22" w:rsidP="00963A22">
      <w:pPr>
        <w:numPr>
          <w:ilvl w:val="0"/>
          <w:numId w:val="3"/>
        </w:numPr>
      </w:pPr>
      <w:r w:rsidRPr="00963A22">
        <w:rPr>
          <w:b/>
          <w:bCs/>
        </w:rPr>
        <w:t>第二类（谨慎处理）：可感知的基本面问题。</w:t>
      </w:r>
      <w:r w:rsidRPr="00963A22">
        <w:t xml:space="preserve"> 这包括糟糕的季度盈利、行业逆风等。投资者（或AI）的核心任务是分析这些问题是暂时的“小插曲”，还是长期衰退的开始。</w:t>
      </w:r>
    </w:p>
    <w:p w14:paraId="6C393349" w14:textId="77777777" w:rsidR="00963A22" w:rsidRPr="00963A22" w:rsidRDefault="00963A22" w:rsidP="00963A22">
      <w:pPr>
        <w:numPr>
          <w:ilvl w:val="0"/>
          <w:numId w:val="3"/>
        </w:numPr>
      </w:pPr>
      <w:r w:rsidRPr="00963A22">
        <w:rPr>
          <w:b/>
          <w:bCs/>
        </w:rPr>
        <w:t>第三类（高度警惕/拒绝）：永久性价值损伤的可能。</w:t>
      </w:r>
      <w:r w:rsidRPr="00963A22">
        <w:t xml:space="preserve"> 这包括潜在的财务欺诈、核心技术被颠覆、行业进入末路等。</w:t>
      </w:r>
    </w:p>
    <w:p w14:paraId="697164FD" w14:textId="77777777" w:rsidR="00963A22" w:rsidRPr="00963A22" w:rsidRDefault="00963A22" w:rsidP="00963A22">
      <w:r w:rsidRPr="00963A22">
        <w:t>理解“为什么便宜”能让投资者确信自己不是那个“更傻的傻瓜”。如果低价是由于指数基金在某只股票被剔除</w:t>
      </w:r>
      <w:proofErr w:type="gramStart"/>
      <w:r w:rsidRPr="00963A22">
        <w:t>出指数</w:t>
      </w:r>
      <w:proofErr w:type="gramEnd"/>
      <w:r w:rsidRPr="00963A22">
        <w:t>后不计成本地抛售所致，那么这就是一个纯粹的机会。但如果低价是因为公司的主打产品专利即将到期且后续产品线空空如也，那么这可能是一个价值陷阱。对原因的分类直接决定了投资的安全边际水平。</w:t>
      </w:r>
    </w:p>
    <w:p w14:paraId="3E3C31D3" w14:textId="77777777" w:rsidR="00963A22" w:rsidRPr="00963A22" w:rsidRDefault="00963A22" w:rsidP="00963A22">
      <w:pPr>
        <w:rPr>
          <w:b/>
          <w:bCs/>
        </w:rPr>
      </w:pPr>
      <w:r w:rsidRPr="00963A22">
        <w:rPr>
          <w:b/>
          <w:bCs/>
        </w:rPr>
        <w:t>4.2 三管齐下的估值方法论</w:t>
      </w:r>
    </w:p>
    <w:p w14:paraId="2650456B" w14:textId="77777777" w:rsidR="00963A22" w:rsidRPr="00963A22" w:rsidRDefault="00963A22" w:rsidP="00963A22">
      <w:r w:rsidRPr="00963A22">
        <w:t xml:space="preserve">这是AI的核心计算模块。保守主义是指导该模块所有运算的最高原则。AI不能得出一个精确的点值，而必须通过三种相互独立的方法生成一个价值区间。最终的“内在价值”估算应取该区间的保守端。这正是卡拉曼所强调的：“对内在价值的一个不确定的、近似的度量可能就足够了” 。   </w:t>
      </w:r>
    </w:p>
    <w:p w14:paraId="7083E492" w14:textId="77777777" w:rsidR="00963A22" w:rsidRPr="00963A22" w:rsidRDefault="00963A22" w:rsidP="00963A22">
      <w:pPr>
        <w:numPr>
          <w:ilvl w:val="0"/>
          <w:numId w:val="4"/>
        </w:numPr>
      </w:pPr>
      <w:r w:rsidRPr="00963A22">
        <w:rPr>
          <w:b/>
          <w:bCs/>
        </w:rPr>
        <w:lastRenderedPageBreak/>
        <w:t>方法</w:t>
      </w:r>
      <w:proofErr w:type="gramStart"/>
      <w:r w:rsidRPr="00963A22">
        <w:rPr>
          <w:b/>
          <w:bCs/>
        </w:rPr>
        <w:t>一</w:t>
      </w:r>
      <w:proofErr w:type="gramEnd"/>
      <w:r w:rsidRPr="00963A22">
        <w:rPr>
          <w:b/>
          <w:bCs/>
        </w:rPr>
        <w:t>：持续经营价值（盈利能力分析）</w:t>
      </w:r>
    </w:p>
    <w:p w14:paraId="0EE4B8EB" w14:textId="77777777" w:rsidR="00963A22" w:rsidRPr="00963A22" w:rsidRDefault="00963A22" w:rsidP="00963A22">
      <w:pPr>
        <w:numPr>
          <w:ilvl w:val="1"/>
          <w:numId w:val="4"/>
        </w:numPr>
      </w:pPr>
      <w:r w:rsidRPr="00963A22">
        <w:rPr>
          <w:b/>
          <w:bCs/>
        </w:rPr>
        <w:t>数据与逻辑</w:t>
      </w:r>
      <w:r w:rsidRPr="00963A22">
        <w:t>：此方法基于对企业未来自由现金流的净现值（NPV）分析。卡拉曼警告说，这是最主观的估值方法，因为未来是不可知的 。他尤其严厉地批评了EBITDA（息税折旧摊销前利润）作为现金流替代指标的做法，认为它忽略了税收和资本支出这两个真实</w:t>
      </w:r>
      <w:proofErr w:type="gramStart"/>
      <w:r w:rsidRPr="00963A22">
        <w:t>且巨大</w:t>
      </w:r>
      <w:proofErr w:type="gramEnd"/>
      <w:r w:rsidRPr="00963A22">
        <w:t xml:space="preserve">的现金流出项，是“一个有缺陷的现金流度量”，会“掩盖好企业与坏企业之间的差异” 。   </w:t>
      </w:r>
    </w:p>
    <w:p w14:paraId="7796B6DB" w14:textId="77777777" w:rsidR="00963A22" w:rsidRPr="00963A22" w:rsidRDefault="00963A22" w:rsidP="00963A22">
      <w:pPr>
        <w:numPr>
          <w:ilvl w:val="1"/>
          <w:numId w:val="4"/>
        </w:numPr>
      </w:pPr>
      <w:r w:rsidRPr="00963A22">
        <w:rPr>
          <w:b/>
          <w:bCs/>
        </w:rPr>
        <w:t>AI实施方案</w:t>
      </w:r>
      <w:r w:rsidRPr="00963A22">
        <w:t>：AI必须使用严谨的自由现金流（FCF）公式进行计算：FCF=EBIT×(1</w:t>
      </w:r>
      <w:r w:rsidRPr="00963A22">
        <w:rPr>
          <w:rFonts w:ascii="Cambria Math" w:hAnsi="Cambria Math" w:cs="Cambria Math"/>
        </w:rPr>
        <w:t>−</w:t>
      </w:r>
      <w:r w:rsidRPr="00963A22">
        <w:t>TaxRate)+Depreciation&amp;Amortization</w:t>
      </w:r>
      <w:r w:rsidRPr="00963A22">
        <w:rPr>
          <w:rFonts w:ascii="Cambria Math" w:hAnsi="Cambria Math" w:cs="Cambria Math"/>
        </w:rPr>
        <w:t>−</w:t>
      </w:r>
      <w:r w:rsidRPr="00963A22">
        <w:t>CapitalExpenditures</w:t>
      </w:r>
      <w:r w:rsidRPr="00963A22">
        <w:rPr>
          <w:rFonts w:ascii="Cambria Math" w:hAnsi="Cambria Math" w:cs="Cambria Math"/>
        </w:rPr>
        <w:t>−</w:t>
      </w:r>
      <w:r w:rsidRPr="00963A22">
        <w:t>ΔWorkingCapital。系统应运行多个情景分析（最差、一般、最好情况），并采用保守的贴现率（例如，当前长期国债收益率加上4-6%的股权风险溢价）。</w:t>
      </w:r>
    </w:p>
    <w:p w14:paraId="6BF1E532" w14:textId="77777777" w:rsidR="00963A22" w:rsidRPr="00963A22" w:rsidRDefault="00963A22" w:rsidP="00963A22">
      <w:pPr>
        <w:numPr>
          <w:ilvl w:val="0"/>
          <w:numId w:val="4"/>
        </w:numPr>
      </w:pPr>
      <w:r w:rsidRPr="00963A22">
        <w:rPr>
          <w:b/>
          <w:bCs/>
        </w:rPr>
        <w:t>方法二：清算价值（资产基础分析）</w:t>
      </w:r>
    </w:p>
    <w:p w14:paraId="39F28FE6" w14:textId="77777777" w:rsidR="00963A22" w:rsidRPr="00963A22" w:rsidRDefault="00963A22" w:rsidP="00963A22">
      <w:pPr>
        <w:numPr>
          <w:ilvl w:val="1"/>
          <w:numId w:val="4"/>
        </w:numPr>
      </w:pPr>
      <w:r w:rsidRPr="00963A22">
        <w:rPr>
          <w:b/>
          <w:bCs/>
        </w:rPr>
        <w:t>数据与逻辑</w:t>
      </w:r>
      <w:r w:rsidRPr="00963A22">
        <w:t xml:space="preserve">：这是对企业价值的“保守评估，只考虑有形资产” 。它代表了企业的“兜底”价值。一个常用的捷径是计算“纯粹营运资金净额”（Net-Net Working Capital），即流动资产减去总负债 。在极端情况下，即使公司业务一文不值，只要能以低于清算价值的价格买入，投资者的本金也能得到保障。例如，LTV钢铁公司的案例中，其工厂设备的评估价值是其市值的2.3倍，这提供了巨大的安全垫 。   </w:t>
      </w:r>
    </w:p>
    <w:p w14:paraId="29873137" w14:textId="77777777" w:rsidR="00963A22" w:rsidRPr="00963A22" w:rsidRDefault="00963A22" w:rsidP="00963A22">
      <w:pPr>
        <w:numPr>
          <w:ilvl w:val="1"/>
          <w:numId w:val="4"/>
        </w:numPr>
      </w:pPr>
      <w:r w:rsidRPr="00963A22">
        <w:rPr>
          <w:b/>
          <w:bCs/>
        </w:rPr>
        <w:t>AI实施方案</w:t>
      </w:r>
      <w:r w:rsidRPr="00963A22">
        <w:t>：AI必须解析资产负债表，并对各类资产应用保守的折扣率。例如：现金=100%；应收账款=75-95%；存货=50-75%（对于技术或时尚类产品，折扣率应更高）；固定资产（PP&amp;E）的估值最为困难，需要基于行业特有的知识进行判断。最终的清算价值是所有打折后资产的总和，减去所有负债，包括表外负债。</w:t>
      </w:r>
    </w:p>
    <w:p w14:paraId="4277C979" w14:textId="77777777" w:rsidR="00963A22" w:rsidRPr="00963A22" w:rsidRDefault="00963A22" w:rsidP="00963A22">
      <w:pPr>
        <w:numPr>
          <w:ilvl w:val="0"/>
          <w:numId w:val="4"/>
        </w:numPr>
      </w:pPr>
      <w:r w:rsidRPr="00963A22">
        <w:rPr>
          <w:b/>
          <w:bCs/>
        </w:rPr>
        <w:t>方法三：股市/私有市场价值（相对估值法）</w:t>
      </w:r>
    </w:p>
    <w:p w14:paraId="0878ED2B" w14:textId="77777777" w:rsidR="00963A22" w:rsidRPr="00963A22" w:rsidRDefault="00963A22" w:rsidP="00963A22">
      <w:pPr>
        <w:numPr>
          <w:ilvl w:val="1"/>
          <w:numId w:val="4"/>
        </w:numPr>
      </w:pPr>
      <w:r w:rsidRPr="00963A22">
        <w:rPr>
          <w:b/>
          <w:bCs/>
        </w:rPr>
        <w:t>数据与逻辑</w:t>
      </w:r>
      <w:r w:rsidRPr="00963A22">
        <w:t xml:space="preserve">：此方法通过比较可比上市公司或先例并购交易中的估值倍数（如P/E, P/B, EV/EBITDA）来评估目标公司。卡拉曼警告说，这是最不可靠的方法，尤其是在市场泡沫期间，它可能会变成“循环论证” 。当并购交易的估值倍数被廉价的垃圾债券融资或被高估的股票所推高时，依赖此方法将极其危险 。   </w:t>
      </w:r>
    </w:p>
    <w:p w14:paraId="222F45AB" w14:textId="77777777" w:rsidR="00963A22" w:rsidRPr="00963A22" w:rsidRDefault="00963A22" w:rsidP="00963A22">
      <w:pPr>
        <w:numPr>
          <w:ilvl w:val="1"/>
          <w:numId w:val="4"/>
        </w:numPr>
      </w:pPr>
      <w:r w:rsidRPr="00963A22">
        <w:rPr>
          <w:b/>
          <w:bCs/>
        </w:rPr>
        <w:t>AI实施方案</w:t>
      </w:r>
      <w:r w:rsidRPr="00963A22">
        <w:t>：此模块主要用作“合理性检验”。AI可以计算目标公司及其同行的估值倍数。然而，如果其“市场狂热探测模块”（见下文）发出警报，系统必须被编程为降低此方法的权重，甚至完全忽略其结果。</w:t>
      </w:r>
    </w:p>
    <w:p w14:paraId="0A9069B2" w14:textId="77777777" w:rsidR="00963A22" w:rsidRPr="00963A22" w:rsidRDefault="00963A22" w:rsidP="00963A22">
      <w:r w:rsidRPr="00963A22">
        <w:t>为了系统化地执行这一多维度估值过程，AI应构建并填充如下的估值矩阵：</w:t>
      </w:r>
    </w:p>
    <w:p w14:paraId="61338A75" w14:textId="77777777" w:rsidR="00963A22" w:rsidRPr="00963A22" w:rsidRDefault="00963A22" w:rsidP="00963A22">
      <w:r w:rsidRPr="00963A22">
        <w:rPr>
          <w:b/>
          <w:bCs/>
        </w:rPr>
        <w:t>表1：卡拉曼三管齐下估值矩阵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2463"/>
        <w:gridCol w:w="1487"/>
        <w:gridCol w:w="820"/>
        <w:gridCol w:w="792"/>
        <w:gridCol w:w="2044"/>
      </w:tblGrid>
      <w:tr w:rsidR="00963A22" w:rsidRPr="00963A22" w14:paraId="60992AE6" w14:textId="77777777" w:rsidTr="00963A22">
        <w:trPr>
          <w:tblHeader/>
          <w:tblCellSpacing w:w="15" w:type="dxa"/>
        </w:trPr>
        <w:tc>
          <w:tcPr>
            <w:tcW w:w="0" w:type="auto"/>
            <w:vAlign w:val="center"/>
            <w:hideMark/>
          </w:tcPr>
          <w:p w14:paraId="11539E92" w14:textId="77777777" w:rsidR="00963A22" w:rsidRPr="00963A22" w:rsidRDefault="00963A22" w:rsidP="00963A22">
            <w:r w:rsidRPr="00963A22">
              <w:t>估值方法</w:t>
            </w:r>
          </w:p>
        </w:tc>
        <w:tc>
          <w:tcPr>
            <w:tcW w:w="0" w:type="auto"/>
            <w:vAlign w:val="center"/>
            <w:hideMark/>
          </w:tcPr>
          <w:p w14:paraId="4FF70860" w14:textId="77777777" w:rsidR="00963A22" w:rsidRPr="00963A22" w:rsidRDefault="00963A22" w:rsidP="00963A22">
            <w:r w:rsidRPr="00963A22">
              <w:t>关键输入与假设</w:t>
            </w:r>
          </w:p>
        </w:tc>
        <w:tc>
          <w:tcPr>
            <w:tcW w:w="0" w:type="auto"/>
            <w:vAlign w:val="center"/>
            <w:hideMark/>
          </w:tcPr>
          <w:p w14:paraId="530933B3" w14:textId="77777777" w:rsidR="00963A22" w:rsidRPr="00963A22" w:rsidRDefault="00963A22" w:rsidP="00963A22">
            <w:r w:rsidRPr="00963A22">
              <w:t>计算/分析</w:t>
            </w:r>
          </w:p>
        </w:tc>
        <w:tc>
          <w:tcPr>
            <w:tcW w:w="0" w:type="auto"/>
            <w:vAlign w:val="center"/>
            <w:hideMark/>
          </w:tcPr>
          <w:p w14:paraId="2311384A" w14:textId="77777777" w:rsidR="00963A22" w:rsidRPr="00963A22" w:rsidRDefault="00963A22" w:rsidP="00963A22">
            <w:r w:rsidRPr="00963A22">
              <w:t>价值区间（美元/股）</w:t>
            </w:r>
          </w:p>
        </w:tc>
        <w:tc>
          <w:tcPr>
            <w:tcW w:w="0" w:type="auto"/>
            <w:vAlign w:val="center"/>
            <w:hideMark/>
          </w:tcPr>
          <w:p w14:paraId="66A935B0" w14:textId="77777777" w:rsidR="00963A22" w:rsidRPr="00963A22" w:rsidRDefault="00963A22" w:rsidP="00963A22">
            <w:r w:rsidRPr="00963A22">
              <w:t>置信度（低/中/高）</w:t>
            </w:r>
          </w:p>
        </w:tc>
        <w:tc>
          <w:tcPr>
            <w:tcW w:w="0" w:type="auto"/>
            <w:vAlign w:val="center"/>
            <w:hideMark/>
          </w:tcPr>
          <w:p w14:paraId="047D93BB" w14:textId="77777777" w:rsidR="00963A22" w:rsidRPr="00963A22" w:rsidRDefault="00963A22" w:rsidP="00963A22">
            <w:r w:rsidRPr="00963A22">
              <w:t>备注与警示信号</w:t>
            </w:r>
          </w:p>
        </w:tc>
      </w:tr>
      <w:tr w:rsidR="00963A22" w:rsidRPr="00963A22" w14:paraId="2033A5C6" w14:textId="77777777" w:rsidTr="00963A22">
        <w:trPr>
          <w:tblCellSpacing w:w="15" w:type="dxa"/>
        </w:trPr>
        <w:tc>
          <w:tcPr>
            <w:tcW w:w="0" w:type="auto"/>
            <w:vAlign w:val="center"/>
            <w:hideMark/>
          </w:tcPr>
          <w:p w14:paraId="6F0F9BB5" w14:textId="77777777" w:rsidR="00963A22" w:rsidRPr="00963A22" w:rsidRDefault="00963A22" w:rsidP="00963A22">
            <w:r w:rsidRPr="00963A22">
              <w:rPr>
                <w:b/>
                <w:bCs/>
              </w:rPr>
              <w:t>1. 持续经营价值</w:t>
            </w:r>
          </w:p>
        </w:tc>
        <w:tc>
          <w:tcPr>
            <w:tcW w:w="0" w:type="auto"/>
            <w:vAlign w:val="center"/>
            <w:hideMark/>
          </w:tcPr>
          <w:p w14:paraId="44D56D02" w14:textId="77777777" w:rsidR="00963A22" w:rsidRPr="00963A22" w:rsidRDefault="00963A22" w:rsidP="00963A22">
            <w:r w:rsidRPr="00963A22">
              <w:t>- 保守的自由现金流预测（三种情景：基础、最差、最优） - 贴现率（国债收益率 + 4-6%风险溢价）</w:t>
            </w:r>
          </w:p>
        </w:tc>
        <w:tc>
          <w:tcPr>
            <w:tcW w:w="0" w:type="auto"/>
            <w:vAlign w:val="center"/>
            <w:hideMark/>
          </w:tcPr>
          <w:p w14:paraId="4AC3C21D" w14:textId="77777777" w:rsidR="00963A22" w:rsidRPr="00963A22" w:rsidRDefault="00963A22" w:rsidP="00963A22">
            <w:r w:rsidRPr="00963A22">
              <w:t>- 贴现现金流（DCF）分析</w:t>
            </w:r>
          </w:p>
        </w:tc>
        <w:tc>
          <w:tcPr>
            <w:tcW w:w="0" w:type="auto"/>
            <w:vAlign w:val="center"/>
            <w:hideMark/>
          </w:tcPr>
          <w:p w14:paraId="52FAAAF3" w14:textId="77777777" w:rsidR="00963A22" w:rsidRPr="00963A22" w:rsidRDefault="00963A22" w:rsidP="00963A22">
            <w:r w:rsidRPr="00963A22">
              <w:t>[价值区间]</w:t>
            </w:r>
          </w:p>
        </w:tc>
        <w:tc>
          <w:tcPr>
            <w:tcW w:w="0" w:type="auto"/>
            <w:vAlign w:val="center"/>
            <w:hideMark/>
          </w:tcPr>
          <w:p w14:paraId="757D1300" w14:textId="77777777" w:rsidR="00963A22" w:rsidRPr="00963A22" w:rsidRDefault="00963A22" w:rsidP="00963A22">
            <w:r w:rsidRPr="00963A22">
              <w:t>低-中</w:t>
            </w:r>
          </w:p>
        </w:tc>
        <w:tc>
          <w:tcPr>
            <w:tcW w:w="0" w:type="auto"/>
            <w:vAlign w:val="center"/>
            <w:hideMark/>
          </w:tcPr>
          <w:p w14:paraId="5A4EE853" w14:textId="77777777" w:rsidR="00963A22" w:rsidRPr="00963A22" w:rsidRDefault="00963A22" w:rsidP="00963A22">
            <w:r w:rsidRPr="00963A22">
              <w:t>- 管理层的预测是否可信？ - 是否存在误导性使用EBITDA的情况？</w:t>
            </w:r>
          </w:p>
        </w:tc>
      </w:tr>
      <w:tr w:rsidR="00963A22" w:rsidRPr="00963A22" w14:paraId="0403B450" w14:textId="77777777" w:rsidTr="00963A22">
        <w:trPr>
          <w:tblCellSpacing w:w="15" w:type="dxa"/>
        </w:trPr>
        <w:tc>
          <w:tcPr>
            <w:tcW w:w="0" w:type="auto"/>
            <w:vAlign w:val="center"/>
            <w:hideMark/>
          </w:tcPr>
          <w:p w14:paraId="786B6CCD" w14:textId="77777777" w:rsidR="00963A22" w:rsidRPr="00963A22" w:rsidRDefault="00963A22" w:rsidP="00963A22">
            <w:r w:rsidRPr="00963A22">
              <w:rPr>
                <w:b/>
                <w:bCs/>
              </w:rPr>
              <w:t>2. 清算价值</w:t>
            </w:r>
          </w:p>
        </w:tc>
        <w:tc>
          <w:tcPr>
            <w:tcW w:w="0" w:type="auto"/>
            <w:vAlign w:val="center"/>
            <w:hideMark/>
          </w:tcPr>
          <w:p w14:paraId="4C39E670" w14:textId="77777777" w:rsidR="00963A22" w:rsidRPr="00963A22" w:rsidRDefault="00963A22" w:rsidP="00963A22">
            <w:r w:rsidRPr="00963A22">
              <w:t>- 经保守折扣的资产负债表资产 - 表外负债</w:t>
            </w:r>
          </w:p>
        </w:tc>
        <w:tc>
          <w:tcPr>
            <w:tcW w:w="0" w:type="auto"/>
            <w:vAlign w:val="center"/>
            <w:hideMark/>
          </w:tcPr>
          <w:p w14:paraId="644A3B2A" w14:textId="77777777" w:rsidR="00963A22" w:rsidRPr="00963A22" w:rsidRDefault="00963A22" w:rsidP="00963A22">
            <w:r w:rsidRPr="00963A22">
              <w:t>- 调整后账面价值 - 纯粹营运资金净额</w:t>
            </w:r>
          </w:p>
        </w:tc>
        <w:tc>
          <w:tcPr>
            <w:tcW w:w="0" w:type="auto"/>
            <w:vAlign w:val="center"/>
            <w:hideMark/>
          </w:tcPr>
          <w:p w14:paraId="0ECCAA5B" w14:textId="77777777" w:rsidR="00963A22" w:rsidRPr="00963A22" w:rsidRDefault="00963A22" w:rsidP="00963A22">
            <w:r w:rsidRPr="00963A22">
              <w:t>[价值区间]</w:t>
            </w:r>
          </w:p>
        </w:tc>
        <w:tc>
          <w:tcPr>
            <w:tcW w:w="0" w:type="auto"/>
            <w:vAlign w:val="center"/>
            <w:hideMark/>
          </w:tcPr>
          <w:p w14:paraId="5CB00E58" w14:textId="77777777" w:rsidR="00963A22" w:rsidRPr="00963A22" w:rsidRDefault="00963A22" w:rsidP="00963A22">
            <w:r w:rsidRPr="00963A22">
              <w:t>中-高</w:t>
            </w:r>
          </w:p>
        </w:tc>
        <w:tc>
          <w:tcPr>
            <w:tcW w:w="0" w:type="auto"/>
            <w:vAlign w:val="center"/>
            <w:hideMark/>
          </w:tcPr>
          <w:p w14:paraId="69232307" w14:textId="77777777" w:rsidR="00963A22" w:rsidRPr="00963A22" w:rsidRDefault="00963A22" w:rsidP="00963A22">
            <w:r w:rsidRPr="00963A22">
              <w:t>- 价值底线。 - 现金消耗是否正在侵蚀该价值？</w:t>
            </w:r>
          </w:p>
        </w:tc>
      </w:tr>
      <w:tr w:rsidR="00963A22" w:rsidRPr="00963A22" w14:paraId="55D070CE" w14:textId="77777777" w:rsidTr="00963A22">
        <w:trPr>
          <w:tblCellSpacing w:w="15" w:type="dxa"/>
        </w:trPr>
        <w:tc>
          <w:tcPr>
            <w:tcW w:w="0" w:type="auto"/>
            <w:vAlign w:val="center"/>
            <w:hideMark/>
          </w:tcPr>
          <w:p w14:paraId="1D2922B4" w14:textId="77777777" w:rsidR="00963A22" w:rsidRPr="00963A22" w:rsidRDefault="00963A22" w:rsidP="00963A22">
            <w:r w:rsidRPr="00963A22">
              <w:rPr>
                <w:b/>
                <w:bCs/>
              </w:rPr>
              <w:lastRenderedPageBreak/>
              <w:t>3. 市场价值</w:t>
            </w:r>
          </w:p>
        </w:tc>
        <w:tc>
          <w:tcPr>
            <w:tcW w:w="0" w:type="auto"/>
            <w:vAlign w:val="center"/>
            <w:hideMark/>
          </w:tcPr>
          <w:p w14:paraId="4E250B5D" w14:textId="77777777" w:rsidR="00963A22" w:rsidRPr="00963A22" w:rsidRDefault="00963A22" w:rsidP="00963A22">
            <w:r w:rsidRPr="00963A22">
              <w:t>- 可比上市公司 - 先例并购交易</w:t>
            </w:r>
          </w:p>
        </w:tc>
        <w:tc>
          <w:tcPr>
            <w:tcW w:w="0" w:type="auto"/>
            <w:vAlign w:val="center"/>
            <w:hideMark/>
          </w:tcPr>
          <w:p w14:paraId="7E31BC8F" w14:textId="77777777" w:rsidR="00963A22" w:rsidRPr="00963A22" w:rsidRDefault="00963A22" w:rsidP="00963A22">
            <w:r w:rsidRPr="00963A22">
              <w:t>- 相对估值倍数</w:t>
            </w:r>
          </w:p>
        </w:tc>
        <w:tc>
          <w:tcPr>
            <w:tcW w:w="0" w:type="auto"/>
            <w:vAlign w:val="center"/>
            <w:hideMark/>
          </w:tcPr>
          <w:p w14:paraId="551BA89E" w14:textId="77777777" w:rsidR="00963A22" w:rsidRPr="00963A22" w:rsidRDefault="00963A22" w:rsidP="00963A22">
            <w:r w:rsidRPr="00963A22">
              <w:t>[价值区间]</w:t>
            </w:r>
          </w:p>
        </w:tc>
        <w:tc>
          <w:tcPr>
            <w:tcW w:w="0" w:type="auto"/>
            <w:vAlign w:val="center"/>
            <w:hideMark/>
          </w:tcPr>
          <w:p w14:paraId="21209A2E" w14:textId="77777777" w:rsidR="00963A22" w:rsidRPr="00963A22" w:rsidRDefault="00963A22" w:rsidP="00963A22">
            <w:r w:rsidRPr="00963A22">
              <w:t>低</w:t>
            </w:r>
          </w:p>
        </w:tc>
        <w:tc>
          <w:tcPr>
            <w:tcW w:w="0" w:type="auto"/>
            <w:vAlign w:val="center"/>
            <w:hideMark/>
          </w:tcPr>
          <w:p w14:paraId="7AC795F2" w14:textId="77777777" w:rsidR="00963A22" w:rsidRPr="00963A22" w:rsidRDefault="00963A22" w:rsidP="00963A22">
            <w:r w:rsidRPr="00963A22">
              <w:t xml:space="preserve">- </w:t>
            </w:r>
            <w:r w:rsidRPr="00963A22">
              <w:rPr>
                <w:b/>
                <w:bCs/>
              </w:rPr>
              <w:t>危险</w:t>
            </w:r>
            <w:r w:rsidRPr="00963A22">
              <w:t>：市场是否处于泡沫中？ - 并购估值倍数是否被廉价债务夸大？</w:t>
            </w:r>
          </w:p>
        </w:tc>
      </w:tr>
      <w:tr w:rsidR="00963A22" w:rsidRPr="00963A22" w14:paraId="4C515352" w14:textId="77777777" w:rsidTr="00963A22">
        <w:trPr>
          <w:tblCellSpacing w:w="15" w:type="dxa"/>
        </w:trPr>
        <w:tc>
          <w:tcPr>
            <w:tcW w:w="0" w:type="auto"/>
            <w:vAlign w:val="center"/>
            <w:hideMark/>
          </w:tcPr>
          <w:p w14:paraId="38846D79" w14:textId="77777777" w:rsidR="00963A22" w:rsidRPr="00963A22" w:rsidRDefault="00963A22" w:rsidP="00963A22">
            <w:r w:rsidRPr="00963A22">
              <w:rPr>
                <w:b/>
                <w:bCs/>
              </w:rPr>
              <w:t>最终保守内在价值估算</w:t>
            </w:r>
          </w:p>
        </w:tc>
        <w:tc>
          <w:tcPr>
            <w:tcW w:w="0" w:type="auto"/>
            <w:vAlign w:val="center"/>
            <w:hideMark/>
          </w:tcPr>
          <w:p w14:paraId="4B687E3E" w14:textId="77777777" w:rsidR="00963A22" w:rsidRPr="00963A22" w:rsidRDefault="00963A22" w:rsidP="00963A22"/>
        </w:tc>
        <w:tc>
          <w:tcPr>
            <w:tcW w:w="0" w:type="auto"/>
            <w:vAlign w:val="center"/>
            <w:hideMark/>
          </w:tcPr>
          <w:p w14:paraId="02BFEEB6" w14:textId="77777777" w:rsidR="00963A22" w:rsidRPr="00963A22" w:rsidRDefault="00963A22" w:rsidP="00963A22"/>
        </w:tc>
        <w:tc>
          <w:tcPr>
            <w:tcW w:w="0" w:type="auto"/>
            <w:vAlign w:val="center"/>
            <w:hideMark/>
          </w:tcPr>
          <w:p w14:paraId="18357BF5" w14:textId="77777777" w:rsidR="00963A22" w:rsidRPr="00963A22" w:rsidRDefault="00963A22" w:rsidP="00963A22">
            <w:r w:rsidRPr="00963A22">
              <w:rPr>
                <w:b/>
                <w:bCs/>
              </w:rPr>
              <w:t>[综合保守区间]</w:t>
            </w:r>
          </w:p>
        </w:tc>
        <w:tc>
          <w:tcPr>
            <w:tcW w:w="0" w:type="auto"/>
            <w:vAlign w:val="center"/>
            <w:hideMark/>
          </w:tcPr>
          <w:p w14:paraId="56E1368E" w14:textId="77777777" w:rsidR="00963A22" w:rsidRPr="00963A22" w:rsidRDefault="00963A22" w:rsidP="00963A22"/>
        </w:tc>
        <w:tc>
          <w:tcPr>
            <w:tcW w:w="0" w:type="auto"/>
            <w:vAlign w:val="center"/>
            <w:hideMark/>
          </w:tcPr>
          <w:p w14:paraId="18F6BA2F" w14:textId="77777777" w:rsidR="00963A22" w:rsidRPr="00963A22" w:rsidRDefault="00963A22" w:rsidP="00963A22"/>
        </w:tc>
      </w:tr>
    </w:tbl>
    <w:p w14:paraId="66F65E1B" w14:textId="77777777" w:rsidR="00963A22" w:rsidRPr="00963A22" w:rsidRDefault="00963A22" w:rsidP="00963A22">
      <w:r w:rsidRPr="00963A22">
        <w:t>Export to Sheets</w:t>
      </w:r>
    </w:p>
    <w:p w14:paraId="1485328A" w14:textId="77777777" w:rsidR="00963A22" w:rsidRPr="00963A22" w:rsidRDefault="00963A22" w:rsidP="00963A22">
      <w:r w:rsidRPr="00963A22">
        <w:t>该矩阵的价值在于：</w:t>
      </w:r>
    </w:p>
    <w:p w14:paraId="54F08DDB" w14:textId="77777777" w:rsidR="00963A22" w:rsidRPr="00963A22" w:rsidRDefault="00963A22" w:rsidP="00963A22">
      <w:pPr>
        <w:numPr>
          <w:ilvl w:val="0"/>
          <w:numId w:val="5"/>
        </w:numPr>
      </w:pPr>
      <w:r w:rsidRPr="00963A22">
        <w:rPr>
          <w:b/>
          <w:bCs/>
        </w:rPr>
        <w:t>系统化</w:t>
      </w:r>
      <w:r w:rsidRPr="00963A22">
        <w:t>：它强制执行一个结构化的、多维度的估值流程，防止对单一、可能存在缺陷的方法的过度依赖，这对于AI的逻辑流程至关重要。</w:t>
      </w:r>
    </w:p>
    <w:p w14:paraId="2B7EED77" w14:textId="77777777" w:rsidR="00963A22" w:rsidRPr="00963A22" w:rsidRDefault="00963A22" w:rsidP="00963A22">
      <w:pPr>
        <w:numPr>
          <w:ilvl w:val="0"/>
          <w:numId w:val="5"/>
        </w:numPr>
      </w:pPr>
      <w:r w:rsidRPr="00963A22">
        <w:rPr>
          <w:b/>
          <w:bCs/>
        </w:rPr>
        <w:t>显性保守主义</w:t>
      </w:r>
      <w:r w:rsidRPr="00963A22">
        <w:t>：它迫使分析师（或AI）明确阐述假设并分配置信度，将卡拉曼的保守主义精神嵌入到流程中。</w:t>
      </w:r>
    </w:p>
    <w:p w14:paraId="3F68BF14" w14:textId="77777777" w:rsidR="00963A22" w:rsidRPr="00963A22" w:rsidRDefault="00963A22" w:rsidP="00963A22">
      <w:pPr>
        <w:numPr>
          <w:ilvl w:val="0"/>
          <w:numId w:val="5"/>
        </w:numPr>
      </w:pPr>
      <w:r w:rsidRPr="00963A22">
        <w:rPr>
          <w:b/>
          <w:bCs/>
        </w:rPr>
        <w:t>风险识别</w:t>
      </w:r>
      <w:r w:rsidRPr="00963A22">
        <w:t>：“备注与警示信号”一</w:t>
      </w:r>
      <w:proofErr w:type="gramStart"/>
      <w:r w:rsidRPr="00963A22">
        <w:t>栏作为</w:t>
      </w:r>
      <w:proofErr w:type="gramEnd"/>
      <w:r w:rsidRPr="00963A22">
        <w:t>一个内置的检查清单，提示AI去寻找卡拉曼警告过的特定估值陷阱（如EBITDA误用、泡沫化的估值倍数等）。</w:t>
      </w:r>
    </w:p>
    <w:p w14:paraId="30773BBB" w14:textId="77777777" w:rsidR="00963A22" w:rsidRPr="00963A22" w:rsidRDefault="00963A22" w:rsidP="00963A22">
      <w:pPr>
        <w:numPr>
          <w:ilvl w:val="0"/>
          <w:numId w:val="5"/>
        </w:numPr>
      </w:pPr>
      <w:r w:rsidRPr="00963A22">
        <w:rPr>
          <w:b/>
          <w:bCs/>
        </w:rPr>
        <w:t>三角验证</w:t>
      </w:r>
      <w:r w:rsidRPr="00963A22">
        <w:t>：通过比较三种独立方法得出的结果，AI可以获得对价值更稳健的感知。一只交易价格低于其清算价值（方法二）的股票，其投资信号远强于一只仅仅在市盈率上看起来便宜（方法三）的股票。</w:t>
      </w:r>
    </w:p>
    <w:p w14:paraId="693B4A20" w14:textId="77777777" w:rsidR="00963A22" w:rsidRPr="00963A22" w:rsidRDefault="00963A22" w:rsidP="00963A22">
      <w:pPr>
        <w:rPr>
          <w:b/>
          <w:bCs/>
        </w:rPr>
      </w:pPr>
      <w:r w:rsidRPr="00963A22">
        <w:rPr>
          <w:b/>
          <w:bCs/>
        </w:rPr>
        <w:t>第五节 风险、催化剂与投资组合管理</w:t>
      </w:r>
    </w:p>
    <w:p w14:paraId="22979B9F" w14:textId="77777777" w:rsidR="00963A22" w:rsidRPr="00963A22" w:rsidRDefault="00963A22" w:rsidP="00963A22">
      <w:pPr>
        <w:rPr>
          <w:b/>
          <w:bCs/>
        </w:rPr>
      </w:pPr>
      <w:r w:rsidRPr="00963A22">
        <w:rPr>
          <w:b/>
          <w:bCs/>
        </w:rPr>
        <w:t>5.1 市场狂热探测模块（“反模式”检查清单）</w:t>
      </w:r>
    </w:p>
    <w:p w14:paraId="2D39EF1D" w14:textId="77777777" w:rsidR="00963A22" w:rsidRPr="00963A22" w:rsidRDefault="00963A22" w:rsidP="00963A22">
      <w:r w:rsidRPr="00963A22">
        <w:t>在投入资本之前，AI必须进行一次宏观层面的风险评估，即回答：“该资产类别的整个市场行为是否理性？”。这相当于在购买一栋统计数据上很便宜的房子之前，先检查一下整个社区是否正在着火。</w:t>
      </w:r>
    </w:p>
    <w:p w14:paraId="229708E6" w14:textId="77777777" w:rsidR="00963A22" w:rsidRPr="00963A22" w:rsidRDefault="00963A22" w:rsidP="00963A22">
      <w:r w:rsidRPr="00963A22">
        <w:t xml:space="preserve">卡拉曼在《安全边际》第四章对垃圾债券狂热的深入剖析，为构建这一“市场狂热探测模块”提供了完美的蓝图 。市场狂热具备一些可识别的定性特征，AI必须被编程来识别这些“反模式”（anti-patterns）：   </w:t>
      </w:r>
    </w:p>
    <w:p w14:paraId="173D1F79" w14:textId="77777777" w:rsidR="00963A22" w:rsidRPr="00963A22" w:rsidRDefault="00963A22" w:rsidP="00963A22">
      <w:pPr>
        <w:numPr>
          <w:ilvl w:val="0"/>
          <w:numId w:val="6"/>
        </w:numPr>
      </w:pPr>
      <w:r w:rsidRPr="00963A22">
        <w:rPr>
          <w:b/>
          <w:bCs/>
        </w:rPr>
        <w:t>新颖且未经证实的估值方法被广泛接受</w:t>
      </w:r>
      <w:r w:rsidRPr="00963A22">
        <w:t>：例如，用EBITDA替代传统的盈利或现金流分析来为高杠杆公司辩护。</w:t>
      </w:r>
    </w:p>
    <w:p w14:paraId="1EED161D" w14:textId="77777777" w:rsidR="00963A22" w:rsidRPr="00963A22" w:rsidRDefault="00963A22" w:rsidP="00963A22">
      <w:pPr>
        <w:numPr>
          <w:ilvl w:val="0"/>
          <w:numId w:val="6"/>
        </w:numPr>
      </w:pPr>
      <w:r w:rsidRPr="00963A22">
        <w:rPr>
          <w:b/>
          <w:bCs/>
        </w:rPr>
        <w:t>“这次不一样”的叙事流行</w:t>
      </w:r>
      <w:r w:rsidRPr="00963A22">
        <w:t>：市场参与者为证明当前的高估值合理而创造出新的理论。</w:t>
      </w:r>
    </w:p>
    <w:p w14:paraId="08761002" w14:textId="77777777" w:rsidR="00963A22" w:rsidRPr="00963A22" w:rsidRDefault="00963A22" w:rsidP="00963A22">
      <w:pPr>
        <w:numPr>
          <w:ilvl w:val="0"/>
          <w:numId w:val="6"/>
        </w:numPr>
      </w:pPr>
      <w:r w:rsidRPr="00963A22">
        <w:rPr>
          <w:b/>
          <w:bCs/>
        </w:rPr>
        <w:t>华尔街与机构的合谋</w:t>
      </w:r>
      <w:r w:rsidRPr="00963A22">
        <w:t>：承销商、分析师和基金经理集体为一种有缺陷的金融产品或趋势背书，因为这符合他们的短期利益。</w:t>
      </w:r>
    </w:p>
    <w:p w14:paraId="3450DC6B" w14:textId="77777777" w:rsidR="00963A22" w:rsidRPr="00963A22" w:rsidRDefault="00963A22" w:rsidP="00963A22">
      <w:pPr>
        <w:numPr>
          <w:ilvl w:val="0"/>
          <w:numId w:val="6"/>
        </w:numPr>
      </w:pPr>
      <w:r w:rsidRPr="00963A22">
        <w:rPr>
          <w:b/>
          <w:bCs/>
        </w:rPr>
        <w:t>新型复杂金融产品的爆炸式增长</w:t>
      </w:r>
      <w:r w:rsidRPr="00963A22">
        <w:t>：例如80年代新发行的垃圾债券，或</w:t>
      </w:r>
      <w:proofErr w:type="gramStart"/>
      <w:r w:rsidRPr="00963A22">
        <w:t>2000</w:t>
      </w:r>
      <w:proofErr w:type="gramEnd"/>
      <w:r w:rsidRPr="00963A22">
        <w:t>年代的CDO。</w:t>
      </w:r>
    </w:p>
    <w:p w14:paraId="1D24B77C" w14:textId="77777777" w:rsidR="00963A22" w:rsidRPr="00963A22" w:rsidRDefault="00963A22" w:rsidP="00963A22">
      <w:pPr>
        <w:numPr>
          <w:ilvl w:val="0"/>
          <w:numId w:val="6"/>
        </w:numPr>
      </w:pPr>
      <w:r w:rsidRPr="00963A22">
        <w:rPr>
          <w:b/>
          <w:bCs/>
        </w:rPr>
        <w:t>历史标准的摒弃</w:t>
      </w:r>
      <w:r w:rsidRPr="00963A22">
        <w:t>：信贷标准、承销纪律和尽职调查被普遍放松。</w:t>
      </w:r>
    </w:p>
    <w:p w14:paraId="249FD5E2" w14:textId="77777777" w:rsidR="00963A22" w:rsidRPr="00963A22" w:rsidRDefault="00963A22" w:rsidP="00963A22">
      <w:pPr>
        <w:numPr>
          <w:ilvl w:val="0"/>
          <w:numId w:val="6"/>
        </w:numPr>
      </w:pPr>
      <w:r w:rsidRPr="00963A22">
        <w:rPr>
          <w:b/>
          <w:bCs/>
        </w:rPr>
        <w:t>媒体情绪一边倒</w:t>
      </w:r>
      <w:r w:rsidRPr="00963A22">
        <w:t xml:space="preserve">：一份对卡拉曼操作细节的总结提到，他会设置“媒体情绪指数”，当70%的报道呈现单向乐观或悲观时，进行反向操作 。   </w:t>
      </w:r>
    </w:p>
    <w:p w14:paraId="22DCFDAB" w14:textId="77777777" w:rsidR="00963A22" w:rsidRPr="00963A22" w:rsidRDefault="00963A22" w:rsidP="00963A22">
      <w:r w:rsidRPr="00963A22">
        <w:t>当AI的探测模块在一个特定的资产类别或行业中识别出多个此类“反模式”时，系统应自动提高对该领域内任何投资所需的安全边际要求，或者在极端情况下，完全禁止对该领域的投资，无论单个证券看起来多么便宜。这是为了避免在宏观的非理性中寻找微观的理性，这是</w:t>
      </w:r>
      <w:r w:rsidRPr="00963A22">
        <w:lastRenderedPageBreak/>
        <w:t>一种极高风险的行为。</w:t>
      </w:r>
    </w:p>
    <w:p w14:paraId="12FC564D" w14:textId="77777777" w:rsidR="00963A22" w:rsidRPr="00963A22" w:rsidRDefault="00963A22" w:rsidP="00963A22">
      <w:pPr>
        <w:rPr>
          <w:b/>
          <w:bCs/>
        </w:rPr>
      </w:pPr>
      <w:r w:rsidRPr="00963A22">
        <w:rPr>
          <w:b/>
          <w:bCs/>
        </w:rPr>
        <w:t>5.2 催化剂的识别与分析</w:t>
      </w:r>
    </w:p>
    <w:p w14:paraId="75877EE4" w14:textId="77777777" w:rsidR="00963A22" w:rsidRPr="00963A22" w:rsidRDefault="00963A22" w:rsidP="00963A22">
      <w:r w:rsidRPr="00963A22">
        <w:t xml:space="preserve">一个被低估的证券如果没有催化剂，可能会永远被低估，这便是所谓的“价值陷阱”。催化剂是一个能够“促使内在价值实现”的事件 。它将一个静态的估值差距转变为一个动态的、有时间限制的事件，从而使投资回报不再完全依赖于市场先生反复无常的情绪。   </w:t>
      </w:r>
    </w:p>
    <w:p w14:paraId="6A1BF67F" w14:textId="77777777" w:rsidR="00963A22" w:rsidRPr="00963A22" w:rsidRDefault="00963A22" w:rsidP="00963A22">
      <w:r w:rsidRPr="00963A22">
        <w:t xml:space="preserve">AI为任何证券构建的投资论点中，都必须包含一个或多个可识别的潜在催化剂。这些催化剂的可见性（visibility）是关键评估点之一 。催化剂可以分为：   </w:t>
      </w:r>
    </w:p>
    <w:p w14:paraId="4DCC6823" w14:textId="77777777" w:rsidR="00963A22" w:rsidRPr="00963A22" w:rsidRDefault="00963A22" w:rsidP="00963A22">
      <w:pPr>
        <w:numPr>
          <w:ilvl w:val="0"/>
          <w:numId w:val="7"/>
        </w:numPr>
      </w:pPr>
      <w:r w:rsidRPr="00963A22">
        <w:rPr>
          <w:b/>
          <w:bCs/>
        </w:rPr>
        <w:t>硬催化剂（Hard Catalysts）</w:t>
      </w:r>
      <w:r w:rsidRPr="00963A22">
        <w:t>：这些是已宣布或确定性较高的事件，如已签署的合并协议、公司宣布的清算计划、即将到期的债务或确定的分拆日期。</w:t>
      </w:r>
    </w:p>
    <w:p w14:paraId="35C3E62D" w14:textId="77777777" w:rsidR="00963A22" w:rsidRPr="00963A22" w:rsidRDefault="00963A22" w:rsidP="00963A22">
      <w:pPr>
        <w:numPr>
          <w:ilvl w:val="0"/>
          <w:numId w:val="7"/>
        </w:numPr>
      </w:pPr>
      <w:r w:rsidRPr="00963A22">
        <w:rPr>
          <w:b/>
          <w:bCs/>
        </w:rPr>
        <w:t>软催化剂（Soft Catalysts）</w:t>
      </w:r>
      <w:r w:rsidRPr="00963A22">
        <w:t>：这些是可能性较高但时间不确定的事件，如激进投资者入股并推动变革、管理层换届并有望改变资本配置策略、公司可能出售非核心资产等。</w:t>
      </w:r>
    </w:p>
    <w:p w14:paraId="37620F8F" w14:textId="77777777" w:rsidR="00963A22" w:rsidRPr="00963A22" w:rsidRDefault="00963A22" w:rsidP="00963A22">
      <w:r w:rsidRPr="00963A22">
        <w:t xml:space="preserve">AI应根据催化剂的确定性和预期时间框架对投资机会进行评分。一个有明确、短期催化剂的投资（如风险套利）比一个只有模糊、长期希望的投资（如“管理层最终可能会做些对股东有利的事”）风险更低，因为价值实现的时间窗口被大大缩短，从而降低了在此期间发生意外负面事件的风险 。   </w:t>
      </w:r>
    </w:p>
    <w:p w14:paraId="47FBB82A" w14:textId="77777777" w:rsidR="00963A22" w:rsidRPr="00963A22" w:rsidRDefault="00963A22" w:rsidP="00963A22">
      <w:pPr>
        <w:rPr>
          <w:b/>
          <w:bCs/>
        </w:rPr>
      </w:pPr>
      <w:r w:rsidRPr="00963A22">
        <w:rPr>
          <w:b/>
          <w:bCs/>
        </w:rPr>
        <w:t>5.3 投资组合构建与现金的角色</w:t>
      </w:r>
    </w:p>
    <w:p w14:paraId="1ED50D95" w14:textId="77777777" w:rsidR="00963A22" w:rsidRPr="00963A22" w:rsidRDefault="00963A22" w:rsidP="00963A22">
      <w:r w:rsidRPr="00963A22">
        <w:t xml:space="preserve">在卡拉曼的框架中，现金不是投资组合的残余，而是一个核心的战略头寸。当市场上缺乏符合其严格标准的投资机会时，他会持有大量的现金储备，比例可高达20%至50% 。这种现金持有并非基于对市场时机的判断（即预测市场将下跌），而是自下而上搜寻过程的自然结果——当没有值得挥棒的球时，就耐心等待 。   </w:t>
      </w:r>
    </w:p>
    <w:p w14:paraId="6E76DD4D" w14:textId="77777777" w:rsidR="00963A22" w:rsidRPr="00963A22" w:rsidRDefault="00963A22" w:rsidP="00963A22">
      <w:r w:rsidRPr="00963A22">
        <w:t>AI的默认状态应被设定为持有现金。只有当一个投资机会通过了所有关卡的严格审查时，资本才会被部署。这些关卡包括：</w:t>
      </w:r>
    </w:p>
    <w:p w14:paraId="6114BA72" w14:textId="77777777" w:rsidR="00963A22" w:rsidRPr="00963A22" w:rsidRDefault="00963A22" w:rsidP="00963A22">
      <w:pPr>
        <w:numPr>
          <w:ilvl w:val="0"/>
          <w:numId w:val="8"/>
        </w:numPr>
      </w:pPr>
      <w:r w:rsidRPr="00963A22">
        <w:rPr>
          <w:b/>
          <w:bCs/>
        </w:rPr>
        <w:t>估值关</w:t>
      </w:r>
      <w:r w:rsidRPr="00963A22">
        <w:t>：价格与内在价值之间存在显著的折扣。</w:t>
      </w:r>
    </w:p>
    <w:p w14:paraId="7341A1C5" w14:textId="77777777" w:rsidR="00963A22" w:rsidRPr="00963A22" w:rsidRDefault="00963A22" w:rsidP="00963A22">
      <w:pPr>
        <w:numPr>
          <w:ilvl w:val="0"/>
          <w:numId w:val="8"/>
        </w:numPr>
      </w:pPr>
      <w:r w:rsidRPr="00963A22">
        <w:rPr>
          <w:b/>
          <w:bCs/>
        </w:rPr>
        <w:t>风险关</w:t>
      </w:r>
      <w:r w:rsidRPr="00963A22">
        <w:t>：具备足够的安全边际。</w:t>
      </w:r>
    </w:p>
    <w:p w14:paraId="37E7F429" w14:textId="77777777" w:rsidR="00963A22" w:rsidRPr="00963A22" w:rsidRDefault="00963A22" w:rsidP="00963A22">
      <w:pPr>
        <w:numPr>
          <w:ilvl w:val="0"/>
          <w:numId w:val="8"/>
        </w:numPr>
      </w:pPr>
      <w:r w:rsidRPr="00963A22">
        <w:rPr>
          <w:b/>
          <w:bCs/>
        </w:rPr>
        <w:t>催化剂关</w:t>
      </w:r>
      <w:r w:rsidRPr="00963A22">
        <w:t>：存在清晰的价值实现路径。</w:t>
      </w:r>
    </w:p>
    <w:p w14:paraId="588E8A75" w14:textId="77777777" w:rsidR="00963A22" w:rsidRPr="00963A22" w:rsidRDefault="00963A22" w:rsidP="00963A22">
      <w:r w:rsidRPr="00963A22">
        <w:t xml:space="preserve">现金为投资组合提供了至关重要的“灵活性”，并防止了“机会成本”的产生 。当市场恐慌，便宜货遍地时，持有现金的投资者才能成为买家，而不是被迫的卖家。2008年金融危机前，卡拉曼的基金持有高达48%的现金，这使得他能在危机最深重时大举买入廉价资产，如以面值1-3折的价格收购福特汽车的信贷债券 。AI必须被编程为将现金视为“为未来狩猎准备的干火药”，而不是一种拖累业绩的资产。   </w:t>
      </w:r>
    </w:p>
    <w:p w14:paraId="6F6281DE" w14:textId="77777777" w:rsidR="00963A22" w:rsidRPr="00963A22" w:rsidRDefault="00963A22" w:rsidP="00963A22">
      <w:pPr>
        <w:rPr>
          <w:b/>
          <w:bCs/>
        </w:rPr>
      </w:pPr>
      <w:r w:rsidRPr="00963A22">
        <w:rPr>
          <w:b/>
          <w:bCs/>
        </w:rPr>
        <w:t>第六节 最终清单与执行协议</w:t>
      </w:r>
    </w:p>
    <w:p w14:paraId="311D19E9" w14:textId="77777777" w:rsidR="00963A22" w:rsidRPr="00963A22" w:rsidRDefault="00963A22" w:rsidP="00963A22">
      <w:r w:rsidRPr="00963A22">
        <w:t>本节将前述所有哲学与操作原则综合成一个线性的、可供AI执行的最终清单。</w:t>
      </w:r>
    </w:p>
    <w:p w14:paraId="4477C7A7" w14:textId="77777777" w:rsidR="00963A22" w:rsidRPr="00963A22" w:rsidRDefault="00963A22" w:rsidP="00963A22">
      <w:pPr>
        <w:rPr>
          <w:b/>
          <w:bCs/>
        </w:rPr>
      </w:pPr>
      <w:r w:rsidRPr="00963A22">
        <w:rPr>
          <w:b/>
          <w:bCs/>
        </w:rPr>
        <w:t>6.1 卡拉曼投资分析清单（AI实施版）</w:t>
      </w:r>
    </w:p>
    <w:p w14:paraId="42331A80" w14:textId="77777777" w:rsidR="00963A22" w:rsidRPr="00963A22" w:rsidRDefault="00963A22" w:rsidP="00963A22">
      <w:pPr>
        <w:numPr>
          <w:ilvl w:val="0"/>
          <w:numId w:val="9"/>
        </w:numPr>
      </w:pPr>
      <w:r w:rsidRPr="00963A22">
        <w:rPr>
          <w:b/>
          <w:bCs/>
        </w:rPr>
        <w:t>机会生成</w:t>
      </w:r>
      <w:r w:rsidRPr="00963A22">
        <w:t>：该证券是否通过有效的“狩猎场”（量化筛选、事件驱动、逆向信号）被识别？</w:t>
      </w:r>
    </w:p>
    <w:p w14:paraId="3D8C6941" w14:textId="77777777" w:rsidR="00963A22" w:rsidRPr="00963A22" w:rsidRDefault="00963A22" w:rsidP="00963A22">
      <w:pPr>
        <w:numPr>
          <w:ilvl w:val="0"/>
          <w:numId w:val="9"/>
        </w:numPr>
      </w:pPr>
      <w:r w:rsidRPr="00963A22">
        <w:rPr>
          <w:b/>
          <w:bCs/>
        </w:rPr>
        <w:t>初步甄别</w:t>
      </w:r>
      <w:r w:rsidRPr="00963A22">
        <w:t>：它为什么便宜？对原因进行分类（技术性、可感知的缺陷、真实缺陷）。</w:t>
      </w:r>
    </w:p>
    <w:p w14:paraId="4EAECAC3" w14:textId="77777777" w:rsidR="00963A22" w:rsidRPr="00963A22" w:rsidRDefault="00963A22" w:rsidP="00963A22">
      <w:pPr>
        <w:numPr>
          <w:ilvl w:val="0"/>
          <w:numId w:val="9"/>
        </w:numPr>
      </w:pPr>
      <w:r w:rsidRPr="00963A22">
        <w:rPr>
          <w:b/>
          <w:bCs/>
        </w:rPr>
        <w:t>估值分析</w:t>
      </w:r>
      <w:r w:rsidRPr="00963A22">
        <w:t>：</w:t>
      </w:r>
    </w:p>
    <w:p w14:paraId="22A5871D" w14:textId="77777777" w:rsidR="00963A22" w:rsidRPr="00963A22" w:rsidRDefault="00963A22" w:rsidP="00963A22">
      <w:pPr>
        <w:numPr>
          <w:ilvl w:val="1"/>
          <w:numId w:val="9"/>
        </w:numPr>
      </w:pPr>
      <w:r w:rsidRPr="00963A22">
        <w:t>完成并填充“三管齐下估值矩阵”（见表1）。</w:t>
      </w:r>
    </w:p>
    <w:p w14:paraId="433D2912" w14:textId="77777777" w:rsidR="00963A22" w:rsidRPr="00963A22" w:rsidRDefault="00963A22" w:rsidP="00963A22">
      <w:pPr>
        <w:numPr>
          <w:ilvl w:val="1"/>
          <w:numId w:val="9"/>
        </w:numPr>
      </w:pPr>
      <w:r w:rsidRPr="00963A22">
        <w:t>确定一个保守的内在价值区间（V）。</w:t>
      </w:r>
    </w:p>
    <w:p w14:paraId="1C5D6099" w14:textId="77777777" w:rsidR="00963A22" w:rsidRPr="00963A22" w:rsidRDefault="00963A22" w:rsidP="00963A22">
      <w:pPr>
        <w:numPr>
          <w:ilvl w:val="0"/>
          <w:numId w:val="9"/>
        </w:numPr>
      </w:pPr>
      <w:r w:rsidRPr="00963A22">
        <w:rPr>
          <w:b/>
          <w:bCs/>
        </w:rPr>
        <w:t>安全边际计算</w:t>
      </w:r>
      <w:r w:rsidRPr="00963A22">
        <w:t>：(V - P) / V 是否大于预设阈值（例如，50%）？（其中P为市场价格）</w:t>
      </w:r>
    </w:p>
    <w:p w14:paraId="454F84E1" w14:textId="77777777" w:rsidR="00963A22" w:rsidRPr="00963A22" w:rsidRDefault="00963A22" w:rsidP="00963A22">
      <w:pPr>
        <w:numPr>
          <w:ilvl w:val="0"/>
          <w:numId w:val="9"/>
        </w:numPr>
      </w:pPr>
      <w:r w:rsidRPr="00963A22">
        <w:rPr>
          <w:b/>
          <w:bCs/>
        </w:rPr>
        <w:t>风险评估</w:t>
      </w:r>
      <w:r w:rsidRPr="00963A22">
        <w:t>：</w:t>
      </w:r>
    </w:p>
    <w:p w14:paraId="16A98787" w14:textId="77777777" w:rsidR="00963A22" w:rsidRPr="00963A22" w:rsidRDefault="00963A22" w:rsidP="00963A22">
      <w:pPr>
        <w:numPr>
          <w:ilvl w:val="1"/>
          <w:numId w:val="9"/>
        </w:numPr>
      </w:pPr>
      <w:r w:rsidRPr="00963A22">
        <w:t>最坏情况分析：在最差情景下，可能发生的永久性资本损失是多少？</w:t>
      </w:r>
    </w:p>
    <w:p w14:paraId="00C10D14" w14:textId="77777777" w:rsidR="00963A22" w:rsidRPr="00963A22" w:rsidRDefault="00963A22" w:rsidP="00963A22">
      <w:pPr>
        <w:numPr>
          <w:ilvl w:val="1"/>
          <w:numId w:val="9"/>
        </w:numPr>
      </w:pPr>
      <w:r w:rsidRPr="00963A22">
        <w:t>运行“市场狂热探测模块”：该行业是否存在泡沫迹象？</w:t>
      </w:r>
    </w:p>
    <w:p w14:paraId="091F733D" w14:textId="77777777" w:rsidR="00963A22" w:rsidRPr="00963A22" w:rsidRDefault="00963A22" w:rsidP="00963A22">
      <w:pPr>
        <w:numPr>
          <w:ilvl w:val="1"/>
          <w:numId w:val="9"/>
        </w:numPr>
      </w:pPr>
      <w:r w:rsidRPr="00963A22">
        <w:lastRenderedPageBreak/>
        <w:t>评估管理层：其能力、诚信度以及与股东利益的一致性如何（通过内部人买卖、薪酬结构等判断）？</w:t>
      </w:r>
    </w:p>
    <w:p w14:paraId="16949CC4" w14:textId="77777777" w:rsidR="00963A22" w:rsidRPr="00963A22" w:rsidRDefault="00963A22" w:rsidP="00963A22">
      <w:pPr>
        <w:numPr>
          <w:ilvl w:val="0"/>
          <w:numId w:val="9"/>
        </w:numPr>
      </w:pPr>
      <w:r w:rsidRPr="00963A22">
        <w:rPr>
          <w:b/>
          <w:bCs/>
        </w:rPr>
        <w:t>催化剂分析</w:t>
      </w:r>
      <w:r w:rsidRPr="00963A22">
        <w:t>：是否存在可见的催化剂？其发生的概率和预期时间框架如何？</w:t>
      </w:r>
    </w:p>
    <w:p w14:paraId="5E4ED39F" w14:textId="77777777" w:rsidR="00963A22" w:rsidRPr="00963A22" w:rsidRDefault="00963A22" w:rsidP="00963A22">
      <w:pPr>
        <w:numPr>
          <w:ilvl w:val="0"/>
          <w:numId w:val="9"/>
        </w:numPr>
      </w:pPr>
      <w:r w:rsidRPr="00963A22">
        <w:rPr>
          <w:b/>
          <w:bCs/>
        </w:rPr>
        <w:t>投资论点构建</w:t>
      </w:r>
      <w:r w:rsidRPr="00963A22">
        <w:t>：用清晰的语言生成投资论点：“以价格P买入公司X，因为其内在价值为V，提供了Z%的安全边际。该错误定价存在的原因是[原因]，预期价值将通过[催化剂]在[时间框架]内实现。”</w:t>
      </w:r>
    </w:p>
    <w:p w14:paraId="111956BD" w14:textId="77777777" w:rsidR="00963A22" w:rsidRPr="00963A22" w:rsidRDefault="00963A22" w:rsidP="00963A22">
      <w:pPr>
        <w:numPr>
          <w:ilvl w:val="0"/>
          <w:numId w:val="9"/>
        </w:numPr>
      </w:pPr>
      <w:r w:rsidRPr="00963A22">
        <w:rPr>
          <w:b/>
          <w:bCs/>
        </w:rPr>
        <w:t>投资组合配置</w:t>
      </w:r>
      <w:r w:rsidRPr="00963A22">
        <w:t>：该头寸如何融入现有投资组合？根据信念强度和风险评估确定头寸规模。分散与集中并存：</w:t>
      </w:r>
      <w:proofErr w:type="gramStart"/>
      <w:r w:rsidRPr="00963A22">
        <w:t>单行业</w:t>
      </w:r>
      <w:proofErr w:type="gramEnd"/>
      <w:r w:rsidRPr="00963A22">
        <w:t>持仓一般不超过20%，但在确定性极高的情况下允许集中押注（如2008年</w:t>
      </w:r>
      <w:proofErr w:type="gramStart"/>
      <w:r w:rsidRPr="00963A22">
        <w:t>金融债占组合</w:t>
      </w:r>
      <w:proofErr w:type="gramEnd"/>
      <w:r w:rsidRPr="00963A22">
        <w:t xml:space="preserve">35%）。   </w:t>
      </w:r>
    </w:p>
    <w:p w14:paraId="142155E6" w14:textId="77777777" w:rsidR="00963A22" w:rsidRPr="00963A22" w:rsidRDefault="00963A22" w:rsidP="00963A22">
      <w:pPr>
        <w:numPr>
          <w:ilvl w:val="0"/>
          <w:numId w:val="9"/>
        </w:numPr>
      </w:pPr>
      <w:r w:rsidRPr="00963A22">
        <w:rPr>
          <w:b/>
          <w:bCs/>
        </w:rPr>
        <w:t>执行与监控</w:t>
      </w:r>
      <w:r w:rsidRPr="00963A22">
        <w:t>：</w:t>
      </w:r>
    </w:p>
    <w:p w14:paraId="5DE905BC" w14:textId="77777777" w:rsidR="00963A22" w:rsidRPr="00963A22" w:rsidRDefault="00963A22" w:rsidP="00963A22">
      <w:pPr>
        <w:numPr>
          <w:ilvl w:val="1"/>
          <w:numId w:val="9"/>
        </w:numPr>
      </w:pPr>
      <w:r w:rsidRPr="00963A22">
        <w:t>下达买入指令。</w:t>
      </w:r>
    </w:p>
    <w:p w14:paraId="4F8DEB71" w14:textId="77777777" w:rsidR="00963A22" w:rsidRPr="00963A22" w:rsidRDefault="00963A22" w:rsidP="00963A22">
      <w:pPr>
        <w:numPr>
          <w:ilvl w:val="1"/>
          <w:numId w:val="9"/>
        </w:numPr>
      </w:pPr>
      <w:r w:rsidRPr="00963A22">
        <w:t>设定接近内在价值的价格目标，作为潜在的卖出参考。</w:t>
      </w:r>
    </w:p>
    <w:p w14:paraId="128E2858" w14:textId="77777777" w:rsidR="00963A22" w:rsidRPr="00963A22" w:rsidRDefault="00963A22" w:rsidP="00963A22">
      <w:pPr>
        <w:numPr>
          <w:ilvl w:val="1"/>
          <w:numId w:val="9"/>
        </w:numPr>
      </w:pPr>
      <w:r w:rsidRPr="00963A22">
        <w:t>设定定期的审查周期，以重新评估投资论点。</w:t>
      </w:r>
    </w:p>
    <w:p w14:paraId="72AE66B9" w14:textId="77777777" w:rsidR="00963A22" w:rsidRPr="00963A22" w:rsidRDefault="00963A22" w:rsidP="00963A22">
      <w:pPr>
        <w:numPr>
          <w:ilvl w:val="0"/>
          <w:numId w:val="9"/>
        </w:numPr>
      </w:pPr>
      <w:r w:rsidRPr="00963A22">
        <w:rPr>
          <w:b/>
          <w:bCs/>
        </w:rPr>
        <w:t>卖出纪律</w:t>
      </w:r>
      <w:r w:rsidRPr="00963A22">
        <w:t>：在以下情况触发卖出或强制复盘：</w:t>
      </w:r>
    </w:p>
    <w:p w14:paraId="27A7AE3C" w14:textId="77777777" w:rsidR="00963A22" w:rsidRPr="00963A22" w:rsidRDefault="00963A22" w:rsidP="00963A22">
      <w:pPr>
        <w:numPr>
          <w:ilvl w:val="1"/>
          <w:numId w:val="9"/>
        </w:numPr>
      </w:pPr>
      <w:r w:rsidRPr="00963A22">
        <w:t>价格目标已达到。</w:t>
      </w:r>
    </w:p>
    <w:p w14:paraId="66D40458" w14:textId="77777777" w:rsidR="00963A22" w:rsidRPr="00963A22" w:rsidRDefault="00963A22" w:rsidP="00963A22">
      <w:pPr>
        <w:numPr>
          <w:ilvl w:val="1"/>
          <w:numId w:val="9"/>
        </w:numPr>
      </w:pPr>
      <w:r w:rsidRPr="00963A22">
        <w:t>最初的投资论点被证伪（例如，基本面恶化、催化剂失效）。</w:t>
      </w:r>
    </w:p>
    <w:p w14:paraId="6EB787EC" w14:textId="77777777" w:rsidR="00963A22" w:rsidRPr="00963A22" w:rsidRDefault="00963A22" w:rsidP="00963A22">
      <w:pPr>
        <w:numPr>
          <w:ilvl w:val="1"/>
          <w:numId w:val="9"/>
        </w:numPr>
      </w:pPr>
      <w:r w:rsidRPr="00963A22">
        <w:t>出现了明显更优的投资机会（机会成本</w:t>
      </w:r>
      <w:proofErr w:type="gramStart"/>
      <w:r w:rsidRPr="00963A22">
        <w:t>考量</w:t>
      </w:r>
      <w:proofErr w:type="gramEnd"/>
      <w:r w:rsidRPr="00963A22">
        <w:t>）。</w:t>
      </w:r>
    </w:p>
    <w:p w14:paraId="11E64E6A" w14:textId="77777777" w:rsidR="00963A22" w:rsidRPr="00963A22" w:rsidRDefault="00963A22" w:rsidP="00963A22">
      <w:pPr>
        <w:numPr>
          <w:ilvl w:val="1"/>
          <w:numId w:val="9"/>
        </w:numPr>
      </w:pPr>
      <w:r w:rsidRPr="00963A22">
        <w:rPr>
          <w:b/>
          <w:bCs/>
        </w:rPr>
        <w:t>强制复盘规则</w:t>
      </w:r>
      <w:r w:rsidRPr="00963A22">
        <w:t xml:space="preserve">：任何单笔投资亏损超过15%，必须进行强制性的深度复盘，以检查初始逻辑是否存在缺陷，并避免“锚定效应” 。   </w:t>
      </w:r>
    </w:p>
    <w:p w14:paraId="4B5AFEB7" w14:textId="77777777" w:rsidR="00963A22" w:rsidRPr="00963A22" w:rsidRDefault="00963A22" w:rsidP="00963A22">
      <w:r w:rsidRPr="00963A22">
        <w:t>这个清单为AI提供了一个完整的、端到端的逻辑路径，从机会发现到最终处置，每一步都严格植根于卡拉</w:t>
      </w:r>
      <w:proofErr w:type="gramStart"/>
      <w:r w:rsidRPr="00963A22">
        <w:t>曼</w:t>
      </w:r>
      <w:proofErr w:type="gramEnd"/>
      <w:r w:rsidRPr="00963A22">
        <w:t>主义的深层逻辑。</w:t>
      </w:r>
    </w:p>
    <w:p w14:paraId="7CEA93E2" w14:textId="77777777" w:rsidR="00963A22" w:rsidRPr="00963A22" w:rsidRDefault="00963A22" w:rsidP="00963A22">
      <w:pPr>
        <w:rPr>
          <w:b/>
          <w:bCs/>
        </w:rPr>
      </w:pPr>
      <w:r w:rsidRPr="00963A22">
        <w:rPr>
          <w:b/>
          <w:bCs/>
        </w:rPr>
        <w:t>结论</w:t>
      </w:r>
    </w:p>
    <w:p w14:paraId="4E384A66" w14:textId="77777777" w:rsidR="00963A22" w:rsidRPr="00963A22" w:rsidRDefault="00963A22" w:rsidP="00963A22">
      <w:r w:rsidRPr="00963A22">
        <w:t>本报告构建的“卡拉</w:t>
      </w:r>
      <w:proofErr w:type="gramStart"/>
      <w:r w:rsidRPr="00963A22">
        <w:t>曼</w:t>
      </w:r>
      <w:proofErr w:type="gramEnd"/>
      <w:r w:rsidRPr="00963A22">
        <w:t>主义”分析框架，旨在将塞斯·卡拉曼深刻的价值投资哲学转化为一个系统化、可操作、且能为人工智能所执行的严谨流程。该框架的核心并非一套保证盈利的公式，而是一种关于如何思考投资、如何管理风险、以及如何在充满不确定性的市场中保持纪律的思维蓝图。</w:t>
      </w:r>
    </w:p>
    <w:p w14:paraId="608B0A49" w14:textId="77777777" w:rsidR="00963A22" w:rsidRPr="00963A22" w:rsidRDefault="00963A22" w:rsidP="00963A22">
      <w:r w:rsidRPr="00963A22">
        <w:t>该框架的基石是</w:t>
      </w:r>
      <w:r w:rsidRPr="00963A22">
        <w:rPr>
          <w:b/>
          <w:bCs/>
        </w:rPr>
        <w:t>资本保全</w:t>
      </w:r>
      <w:r w:rsidRPr="00963A22">
        <w:t>和</w:t>
      </w:r>
      <w:r w:rsidRPr="00963A22">
        <w:rPr>
          <w:b/>
          <w:bCs/>
        </w:rPr>
        <w:t>安全边际</w:t>
      </w:r>
      <w:r w:rsidRPr="00963A22">
        <w:t>。它要求AI将规避永久性资本损失作为其最高目标函数，并通过坚持以远低于保守估算的内在价值的价格买入来构建安全缓冲。这种方法论从根本上拒绝了将风险与波动性划等号的流行观点，而是将风险定义为“支付过高价格”的行为本身。</w:t>
      </w:r>
    </w:p>
    <w:p w14:paraId="51168D8D" w14:textId="77777777" w:rsidR="00963A22" w:rsidRPr="00963A22" w:rsidRDefault="00963A22" w:rsidP="00963A22">
      <w:r w:rsidRPr="00963A22">
        <w:t>在操作层面，该框架强调</w:t>
      </w:r>
      <w:r w:rsidRPr="00963A22">
        <w:rPr>
          <w:b/>
          <w:bCs/>
        </w:rPr>
        <w:t>自下而上</w:t>
      </w:r>
      <w:r w:rsidRPr="00963A22">
        <w:t>的搜寻方法，将AI的分析资源引向市场中最容易出现无效定价的“狩-猎场”，如公司分拆、破产重组等特殊情况，以及被机构投资者因非基本面原因而抛售的证券。其</w:t>
      </w:r>
      <w:r w:rsidRPr="00963A22">
        <w:rPr>
          <w:b/>
          <w:bCs/>
        </w:rPr>
        <w:t>三管齐下的估值方法</w:t>
      </w:r>
      <w:r w:rsidRPr="00963A22">
        <w:t>——持续经营价值、清算价值与市场价值——强制进行多维度、保守的价值评估，以得出一个稳健的价值区间而非虚假的</w:t>
      </w:r>
      <w:proofErr w:type="gramStart"/>
      <w:r w:rsidRPr="00963A22">
        <w:t>精确点</w:t>
      </w:r>
      <w:proofErr w:type="gramEnd"/>
      <w:r w:rsidRPr="00963A22">
        <w:t>值。</w:t>
      </w:r>
    </w:p>
    <w:p w14:paraId="69413DCD" w14:textId="77777777" w:rsidR="00963A22" w:rsidRPr="00963A22" w:rsidRDefault="00963A22" w:rsidP="00963A22">
      <w:r w:rsidRPr="00963A22">
        <w:t>此外，该框架内置了独特的风险控制机制，如</w:t>
      </w:r>
      <w:r w:rsidRPr="00963A22">
        <w:rPr>
          <w:b/>
          <w:bCs/>
        </w:rPr>
        <w:t>市场狂热探测模块</w:t>
      </w:r>
      <w:r w:rsidRPr="00963A22">
        <w:t>和对</w:t>
      </w:r>
      <w:r w:rsidRPr="00963A22">
        <w:rPr>
          <w:b/>
          <w:bCs/>
        </w:rPr>
        <w:t>催化剂</w:t>
      </w:r>
      <w:r w:rsidRPr="00963A22">
        <w:t>的强制性分析，旨在识别和规避系统性风险，并确保价值实现具有清晰的路径和合理的时间框架。对</w:t>
      </w:r>
      <w:r w:rsidRPr="00963A22">
        <w:rPr>
          <w:b/>
          <w:bCs/>
        </w:rPr>
        <w:t>现金</w:t>
      </w:r>
      <w:r w:rsidRPr="00963A22">
        <w:t>的战略性运用，以及严格的</w:t>
      </w:r>
      <w:r w:rsidRPr="00963A22">
        <w:rPr>
          <w:b/>
          <w:bCs/>
        </w:rPr>
        <w:t>买入与卖出纪律</w:t>
      </w:r>
      <w:r w:rsidRPr="00963A22">
        <w:t>，共同构成了一个完整的、能够跨越市场周期的投资与风险管理闭环。</w:t>
      </w:r>
    </w:p>
    <w:p w14:paraId="06ECCAAD" w14:textId="77777777" w:rsidR="00963A22" w:rsidRPr="00963A22" w:rsidRDefault="00963A22" w:rsidP="00963A22">
      <w:r w:rsidRPr="00963A22">
        <w:t>最终，这个框架旨在赋予AI一种超越简单数据计算的能力——一种基于深度逻辑、严格纪律和对人类行为非理性认知基础上的“投资智慧”。它承认未来的不可预测性，并通过安全边际和保守主义来应对这种不确定性，力求在任何市场环境下都能实现“不对称”的回报：在上涨时跟上，在下跌时提供保护。这正是卡拉曼主义的精髓所在。</w:t>
      </w:r>
    </w:p>
    <w:p w14:paraId="43ECAFB3" w14:textId="77777777" w:rsidR="00E276C2" w:rsidRDefault="00E276C2"/>
    <w:sectPr w:rsidR="00E276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E03"/>
    <w:multiLevelType w:val="multilevel"/>
    <w:tmpl w:val="206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6C2A"/>
    <w:multiLevelType w:val="multilevel"/>
    <w:tmpl w:val="C71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73926"/>
    <w:multiLevelType w:val="multilevel"/>
    <w:tmpl w:val="5D02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4415E"/>
    <w:multiLevelType w:val="multilevel"/>
    <w:tmpl w:val="0B8E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111F0"/>
    <w:multiLevelType w:val="multilevel"/>
    <w:tmpl w:val="B79A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22C37"/>
    <w:multiLevelType w:val="multilevel"/>
    <w:tmpl w:val="C606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01267D"/>
    <w:multiLevelType w:val="multilevel"/>
    <w:tmpl w:val="80D2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71427"/>
    <w:multiLevelType w:val="multilevel"/>
    <w:tmpl w:val="A5B80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455F1"/>
    <w:multiLevelType w:val="multilevel"/>
    <w:tmpl w:val="8B1EA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827929">
    <w:abstractNumId w:val="6"/>
  </w:num>
  <w:num w:numId="2" w16cid:durableId="23292071">
    <w:abstractNumId w:val="4"/>
  </w:num>
  <w:num w:numId="3" w16cid:durableId="847867086">
    <w:abstractNumId w:val="1"/>
  </w:num>
  <w:num w:numId="4" w16cid:durableId="910113478">
    <w:abstractNumId w:val="7"/>
  </w:num>
  <w:num w:numId="5" w16cid:durableId="1192112074">
    <w:abstractNumId w:val="5"/>
  </w:num>
  <w:num w:numId="6" w16cid:durableId="583956892">
    <w:abstractNumId w:val="0"/>
  </w:num>
  <w:num w:numId="7" w16cid:durableId="105388436">
    <w:abstractNumId w:val="3"/>
  </w:num>
  <w:num w:numId="8" w16cid:durableId="430400075">
    <w:abstractNumId w:val="8"/>
  </w:num>
  <w:num w:numId="9" w16cid:durableId="1581669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22"/>
    <w:rsid w:val="006D4529"/>
    <w:rsid w:val="0095645C"/>
    <w:rsid w:val="00963A22"/>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D2B7"/>
  <w15:chartTrackingRefBased/>
  <w15:docId w15:val="{1C92E710-00B6-4306-A320-2EE97E94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3A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3A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3A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3A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3A2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3A2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3A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3A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3A2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3A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3A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3A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3A22"/>
    <w:rPr>
      <w:rFonts w:cstheme="majorBidi"/>
      <w:color w:val="0F4761" w:themeColor="accent1" w:themeShade="BF"/>
      <w:sz w:val="28"/>
      <w:szCs w:val="28"/>
    </w:rPr>
  </w:style>
  <w:style w:type="character" w:customStyle="1" w:styleId="50">
    <w:name w:val="标题 5 字符"/>
    <w:basedOn w:val="a0"/>
    <w:link w:val="5"/>
    <w:uiPriority w:val="9"/>
    <w:semiHidden/>
    <w:rsid w:val="00963A22"/>
    <w:rPr>
      <w:rFonts w:cstheme="majorBidi"/>
      <w:color w:val="0F4761" w:themeColor="accent1" w:themeShade="BF"/>
      <w:sz w:val="24"/>
      <w:szCs w:val="24"/>
    </w:rPr>
  </w:style>
  <w:style w:type="character" w:customStyle="1" w:styleId="60">
    <w:name w:val="标题 6 字符"/>
    <w:basedOn w:val="a0"/>
    <w:link w:val="6"/>
    <w:uiPriority w:val="9"/>
    <w:semiHidden/>
    <w:rsid w:val="00963A22"/>
    <w:rPr>
      <w:rFonts w:cstheme="majorBidi"/>
      <w:b/>
      <w:bCs/>
      <w:color w:val="0F4761" w:themeColor="accent1" w:themeShade="BF"/>
    </w:rPr>
  </w:style>
  <w:style w:type="character" w:customStyle="1" w:styleId="70">
    <w:name w:val="标题 7 字符"/>
    <w:basedOn w:val="a0"/>
    <w:link w:val="7"/>
    <w:uiPriority w:val="9"/>
    <w:semiHidden/>
    <w:rsid w:val="00963A22"/>
    <w:rPr>
      <w:rFonts w:cstheme="majorBidi"/>
      <w:b/>
      <w:bCs/>
      <w:color w:val="595959" w:themeColor="text1" w:themeTint="A6"/>
    </w:rPr>
  </w:style>
  <w:style w:type="character" w:customStyle="1" w:styleId="80">
    <w:name w:val="标题 8 字符"/>
    <w:basedOn w:val="a0"/>
    <w:link w:val="8"/>
    <w:uiPriority w:val="9"/>
    <w:semiHidden/>
    <w:rsid w:val="00963A22"/>
    <w:rPr>
      <w:rFonts w:cstheme="majorBidi"/>
      <w:color w:val="595959" w:themeColor="text1" w:themeTint="A6"/>
    </w:rPr>
  </w:style>
  <w:style w:type="character" w:customStyle="1" w:styleId="90">
    <w:name w:val="标题 9 字符"/>
    <w:basedOn w:val="a0"/>
    <w:link w:val="9"/>
    <w:uiPriority w:val="9"/>
    <w:semiHidden/>
    <w:rsid w:val="00963A22"/>
    <w:rPr>
      <w:rFonts w:eastAsiaTheme="majorEastAsia" w:cstheme="majorBidi"/>
      <w:color w:val="595959" w:themeColor="text1" w:themeTint="A6"/>
    </w:rPr>
  </w:style>
  <w:style w:type="paragraph" w:styleId="a3">
    <w:name w:val="Title"/>
    <w:basedOn w:val="a"/>
    <w:next w:val="a"/>
    <w:link w:val="a4"/>
    <w:uiPriority w:val="10"/>
    <w:qFormat/>
    <w:rsid w:val="00963A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3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A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3A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3A22"/>
    <w:pPr>
      <w:spacing w:before="160" w:after="160"/>
      <w:jc w:val="center"/>
    </w:pPr>
    <w:rPr>
      <w:i/>
      <w:iCs/>
      <w:color w:val="404040" w:themeColor="text1" w:themeTint="BF"/>
    </w:rPr>
  </w:style>
  <w:style w:type="character" w:customStyle="1" w:styleId="a8">
    <w:name w:val="引用 字符"/>
    <w:basedOn w:val="a0"/>
    <w:link w:val="a7"/>
    <w:uiPriority w:val="29"/>
    <w:rsid w:val="00963A22"/>
    <w:rPr>
      <w:i/>
      <w:iCs/>
      <w:color w:val="404040" w:themeColor="text1" w:themeTint="BF"/>
    </w:rPr>
  </w:style>
  <w:style w:type="paragraph" w:styleId="a9">
    <w:name w:val="List Paragraph"/>
    <w:basedOn w:val="a"/>
    <w:uiPriority w:val="34"/>
    <w:qFormat/>
    <w:rsid w:val="00963A22"/>
    <w:pPr>
      <w:ind w:left="720"/>
      <w:contextualSpacing/>
    </w:pPr>
  </w:style>
  <w:style w:type="character" w:styleId="aa">
    <w:name w:val="Intense Emphasis"/>
    <w:basedOn w:val="a0"/>
    <w:uiPriority w:val="21"/>
    <w:qFormat/>
    <w:rsid w:val="00963A22"/>
    <w:rPr>
      <w:i/>
      <w:iCs/>
      <w:color w:val="0F4761" w:themeColor="accent1" w:themeShade="BF"/>
    </w:rPr>
  </w:style>
  <w:style w:type="paragraph" w:styleId="ab">
    <w:name w:val="Intense Quote"/>
    <w:basedOn w:val="a"/>
    <w:next w:val="a"/>
    <w:link w:val="ac"/>
    <w:uiPriority w:val="30"/>
    <w:qFormat/>
    <w:rsid w:val="00963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3A22"/>
    <w:rPr>
      <w:i/>
      <w:iCs/>
      <w:color w:val="0F4761" w:themeColor="accent1" w:themeShade="BF"/>
    </w:rPr>
  </w:style>
  <w:style w:type="character" w:styleId="ad">
    <w:name w:val="Intense Reference"/>
    <w:basedOn w:val="a0"/>
    <w:uiPriority w:val="32"/>
    <w:qFormat/>
    <w:rsid w:val="00963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312904">
      <w:bodyDiv w:val="1"/>
      <w:marLeft w:val="0"/>
      <w:marRight w:val="0"/>
      <w:marTop w:val="0"/>
      <w:marBottom w:val="0"/>
      <w:divBdr>
        <w:top w:val="none" w:sz="0" w:space="0" w:color="auto"/>
        <w:left w:val="none" w:sz="0" w:space="0" w:color="auto"/>
        <w:bottom w:val="none" w:sz="0" w:space="0" w:color="auto"/>
        <w:right w:val="none" w:sz="0" w:space="0" w:color="auto"/>
      </w:divBdr>
      <w:divsChild>
        <w:div w:id="450710742">
          <w:marLeft w:val="0"/>
          <w:marRight w:val="0"/>
          <w:marTop w:val="0"/>
          <w:marBottom w:val="0"/>
          <w:divBdr>
            <w:top w:val="none" w:sz="0" w:space="0" w:color="auto"/>
            <w:left w:val="none" w:sz="0" w:space="0" w:color="auto"/>
            <w:bottom w:val="none" w:sz="0" w:space="0" w:color="auto"/>
            <w:right w:val="none" w:sz="0" w:space="0" w:color="auto"/>
          </w:divBdr>
          <w:divsChild>
            <w:div w:id="1881357827">
              <w:marLeft w:val="0"/>
              <w:marRight w:val="0"/>
              <w:marTop w:val="0"/>
              <w:marBottom w:val="0"/>
              <w:divBdr>
                <w:top w:val="none" w:sz="0" w:space="0" w:color="auto"/>
                <w:left w:val="none" w:sz="0" w:space="0" w:color="auto"/>
                <w:bottom w:val="none" w:sz="0" w:space="0" w:color="auto"/>
                <w:right w:val="none" w:sz="0" w:space="0" w:color="auto"/>
              </w:divBdr>
              <w:divsChild>
                <w:div w:id="1176532182">
                  <w:marLeft w:val="0"/>
                  <w:marRight w:val="0"/>
                  <w:marTop w:val="0"/>
                  <w:marBottom w:val="0"/>
                  <w:divBdr>
                    <w:top w:val="none" w:sz="0" w:space="0" w:color="auto"/>
                    <w:left w:val="none" w:sz="0" w:space="0" w:color="auto"/>
                    <w:bottom w:val="none" w:sz="0" w:space="0" w:color="auto"/>
                    <w:right w:val="none" w:sz="0" w:space="0" w:color="auto"/>
                  </w:divBdr>
                </w:div>
                <w:div w:id="158788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31119">
      <w:bodyDiv w:val="1"/>
      <w:marLeft w:val="0"/>
      <w:marRight w:val="0"/>
      <w:marTop w:val="0"/>
      <w:marBottom w:val="0"/>
      <w:divBdr>
        <w:top w:val="none" w:sz="0" w:space="0" w:color="auto"/>
        <w:left w:val="none" w:sz="0" w:space="0" w:color="auto"/>
        <w:bottom w:val="none" w:sz="0" w:space="0" w:color="auto"/>
        <w:right w:val="none" w:sz="0" w:space="0" w:color="auto"/>
      </w:divBdr>
      <w:divsChild>
        <w:div w:id="591207649">
          <w:marLeft w:val="0"/>
          <w:marRight w:val="0"/>
          <w:marTop w:val="0"/>
          <w:marBottom w:val="0"/>
          <w:divBdr>
            <w:top w:val="none" w:sz="0" w:space="0" w:color="auto"/>
            <w:left w:val="none" w:sz="0" w:space="0" w:color="auto"/>
            <w:bottom w:val="none" w:sz="0" w:space="0" w:color="auto"/>
            <w:right w:val="none" w:sz="0" w:space="0" w:color="auto"/>
          </w:divBdr>
          <w:divsChild>
            <w:div w:id="525022032">
              <w:marLeft w:val="0"/>
              <w:marRight w:val="0"/>
              <w:marTop w:val="0"/>
              <w:marBottom w:val="0"/>
              <w:divBdr>
                <w:top w:val="none" w:sz="0" w:space="0" w:color="auto"/>
                <w:left w:val="none" w:sz="0" w:space="0" w:color="auto"/>
                <w:bottom w:val="none" w:sz="0" w:space="0" w:color="auto"/>
                <w:right w:val="none" w:sz="0" w:space="0" w:color="auto"/>
              </w:divBdr>
              <w:divsChild>
                <w:div w:id="535654207">
                  <w:marLeft w:val="0"/>
                  <w:marRight w:val="0"/>
                  <w:marTop w:val="0"/>
                  <w:marBottom w:val="0"/>
                  <w:divBdr>
                    <w:top w:val="none" w:sz="0" w:space="0" w:color="auto"/>
                    <w:left w:val="none" w:sz="0" w:space="0" w:color="auto"/>
                    <w:bottom w:val="none" w:sz="0" w:space="0" w:color="auto"/>
                    <w:right w:val="none" w:sz="0" w:space="0" w:color="auto"/>
                  </w:divBdr>
                </w:div>
                <w:div w:id="17752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1636</Words>
  <Characters>9329</Characters>
  <Application>Microsoft Office Word</Application>
  <DocSecurity>0</DocSecurity>
  <Lines>77</Lines>
  <Paragraphs>21</Paragraphs>
  <ScaleCrop>false</ScaleCrop>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2025-06-25T09:24:00Z</dcterms:created>
  <dcterms:modified xsi:type="dcterms:W3CDTF">2025-06-25T09:25:00Z</dcterms:modified>
</cp:coreProperties>
</file>