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6F2D" w14:textId="77777777" w:rsidR="00123B6B" w:rsidRPr="00123B6B" w:rsidRDefault="00123B6B" w:rsidP="00123B6B">
      <w:r w:rsidRPr="00123B6B">
        <w:t>根据《安全边际》和《华尔街隐秘之王的“非公开心法”》的文档内容，塞斯·卡拉曼的投资框架和操作细节可总结如下：</w:t>
      </w:r>
    </w:p>
    <w:p w14:paraId="516A1286" w14:textId="77777777" w:rsidR="00123B6B" w:rsidRPr="00123B6B" w:rsidRDefault="00123B6B" w:rsidP="00123B6B">
      <w:r w:rsidRPr="00123B6B">
        <w:pict w14:anchorId="3476AF46">
          <v:rect id="_x0000_i1061" style="width:0;height:1.5pt" o:hralign="center" o:hrstd="t" o:hr="t" fillcolor="#a0a0a0" stroked="f"/>
        </w:pict>
      </w:r>
    </w:p>
    <w:p w14:paraId="6D557E36" w14:textId="77777777" w:rsidR="00123B6B" w:rsidRPr="00123B6B" w:rsidRDefault="00123B6B" w:rsidP="00123B6B">
      <w:pPr>
        <w:rPr>
          <w:b/>
          <w:bCs/>
        </w:rPr>
      </w:pPr>
      <w:r w:rsidRPr="00123B6B">
        <w:rPr>
          <w:b/>
          <w:bCs/>
        </w:rPr>
        <w:t>一、核心理念框架</w:t>
      </w:r>
    </w:p>
    <w:p w14:paraId="03D7CE2A" w14:textId="77777777" w:rsidR="00123B6B" w:rsidRPr="00123B6B" w:rsidRDefault="00123B6B" w:rsidP="00123B6B">
      <w:pPr>
        <w:numPr>
          <w:ilvl w:val="0"/>
          <w:numId w:val="1"/>
        </w:numPr>
      </w:pPr>
      <w:r w:rsidRPr="00123B6B">
        <w:rPr>
          <w:b/>
          <w:bCs/>
        </w:rPr>
        <w:t>安全边际至上</w:t>
      </w:r>
    </w:p>
    <w:p w14:paraId="090CCE25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三维估值模型</w:t>
      </w:r>
      <w:r w:rsidRPr="00123B6B">
        <w:t xml:space="preserve">：标的需满足至少两项估值支撑 </w:t>
      </w:r>
    </w:p>
    <w:p w14:paraId="4B4D0D59" w14:textId="77777777" w:rsidR="00123B6B" w:rsidRPr="00123B6B" w:rsidRDefault="00123B6B" w:rsidP="00123B6B">
      <w:pPr>
        <w:numPr>
          <w:ilvl w:val="2"/>
          <w:numId w:val="1"/>
        </w:numPr>
      </w:pPr>
      <w:r w:rsidRPr="00123B6B">
        <w:rPr>
          <w:b/>
          <w:bCs/>
        </w:rPr>
        <w:t>清算价值</w:t>
      </w:r>
      <w:r w:rsidRPr="00123B6B">
        <w:t>：扣除优先债务后的可变现资产＞市值的70%（如1984年LTV钢铁案例）；</w:t>
      </w:r>
    </w:p>
    <w:p w14:paraId="6605FA1A" w14:textId="77777777" w:rsidR="00123B6B" w:rsidRPr="00123B6B" w:rsidRDefault="00123B6B" w:rsidP="00123B6B">
      <w:pPr>
        <w:numPr>
          <w:ilvl w:val="2"/>
          <w:numId w:val="1"/>
        </w:numPr>
      </w:pPr>
      <w:r w:rsidRPr="00123B6B">
        <w:rPr>
          <w:b/>
          <w:bCs/>
        </w:rPr>
        <w:t>现金流韧性</w:t>
      </w:r>
      <w:r w:rsidRPr="00123B6B">
        <w:t xml:space="preserve">：自由现金流/市值比＞8%（1994年重仓Stop &amp; Shop时达12%）； </w:t>
      </w:r>
    </w:p>
    <w:p w14:paraId="0E58B16F" w14:textId="77777777" w:rsidR="00123B6B" w:rsidRPr="00123B6B" w:rsidRDefault="00123B6B" w:rsidP="00123B6B">
      <w:pPr>
        <w:numPr>
          <w:ilvl w:val="2"/>
          <w:numId w:val="1"/>
        </w:numPr>
      </w:pPr>
      <w:r w:rsidRPr="00123B6B">
        <w:rPr>
          <w:b/>
          <w:bCs/>
        </w:rPr>
        <w:t>催化剂可见性</w:t>
      </w:r>
      <w:r w:rsidRPr="00123B6B">
        <w:t>：明确价值释放路径（如2013年</w:t>
      </w:r>
      <w:proofErr w:type="gramStart"/>
      <w:r w:rsidRPr="00123B6B">
        <w:t>押注惠普</w:t>
      </w:r>
      <w:proofErr w:type="gramEnd"/>
      <w:r w:rsidRPr="00123B6B">
        <w:t xml:space="preserve">分拆后信用评级上调）。 </w:t>
      </w:r>
    </w:p>
    <w:p w14:paraId="7B9B97B5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买入阈值</w:t>
      </w:r>
      <w:r w:rsidRPr="00123B6B">
        <w:t>：价格低于内在价值50%时触发买入（《安全边际》定义）。</w:t>
      </w:r>
    </w:p>
    <w:p w14:paraId="1B17F74A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持仓纪律</w:t>
      </w:r>
      <w:r w:rsidRPr="00123B6B">
        <w:t>：单笔亏损超15%强制复盘，避免“锚定效应”。</w:t>
      </w:r>
    </w:p>
    <w:p w14:paraId="0176812B" w14:textId="77777777" w:rsidR="00123B6B" w:rsidRPr="00123B6B" w:rsidRDefault="00123B6B" w:rsidP="00123B6B">
      <w:pPr>
        <w:numPr>
          <w:ilvl w:val="0"/>
          <w:numId w:val="1"/>
        </w:numPr>
      </w:pPr>
      <w:r w:rsidRPr="00123B6B">
        <w:rPr>
          <w:b/>
          <w:bCs/>
        </w:rPr>
        <w:t>风险优先于收益</w:t>
      </w:r>
    </w:p>
    <w:p w14:paraId="3A45F356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流动性管理</w:t>
      </w:r>
      <w:r w:rsidRPr="00123B6B">
        <w:t>：常年保持20%-50%现金（2008年危机前现金储备达48%）；</w:t>
      </w:r>
    </w:p>
    <w:p w14:paraId="2895043C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非对称押注</w:t>
      </w:r>
      <w:r w:rsidRPr="00123B6B">
        <w:t>：预设下行风险＜15%、上行空间＞50%（如2009年通用电气金融债券案例，测算最大损失13%、潜在盈利220%）。</w:t>
      </w:r>
    </w:p>
    <w:p w14:paraId="77D03681" w14:textId="77777777" w:rsidR="00123B6B" w:rsidRPr="00123B6B" w:rsidRDefault="00123B6B" w:rsidP="00123B6B">
      <w:pPr>
        <w:numPr>
          <w:ilvl w:val="0"/>
          <w:numId w:val="1"/>
        </w:numPr>
      </w:pPr>
      <w:r w:rsidRPr="00123B6B">
        <w:rPr>
          <w:b/>
          <w:bCs/>
        </w:rPr>
        <w:t>自下而上选股</w:t>
      </w:r>
    </w:p>
    <w:p w14:paraId="09C7E25C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微观扫描</w:t>
      </w:r>
      <w:r w:rsidRPr="00123B6B">
        <w:t>：专注冷门资产（如2009年以0.</w:t>
      </w:r>
      <w:proofErr w:type="gramStart"/>
      <w:r w:rsidRPr="00123B6B">
        <w:t>3倍市净率</w:t>
      </w:r>
      <w:proofErr w:type="gramEnd"/>
      <w:r w:rsidRPr="00123B6B">
        <w:t>收购零售地产抵押证券）；</w:t>
      </w:r>
    </w:p>
    <w:p w14:paraId="5443A1B0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法律尽调</w:t>
      </w:r>
      <w:r w:rsidRPr="00123B6B">
        <w:t>：组建专职团队分析破产法条款优先级（如2001年Kmart破产债权重组）。</w:t>
      </w:r>
    </w:p>
    <w:p w14:paraId="419EB49B" w14:textId="77777777" w:rsidR="00123B6B" w:rsidRPr="00123B6B" w:rsidRDefault="00123B6B" w:rsidP="00123B6B">
      <w:pPr>
        <w:numPr>
          <w:ilvl w:val="0"/>
          <w:numId w:val="1"/>
        </w:numPr>
      </w:pPr>
      <w:r w:rsidRPr="00123B6B">
        <w:rPr>
          <w:b/>
          <w:bCs/>
        </w:rPr>
        <w:t>逆向思维实践</w:t>
      </w:r>
    </w:p>
    <w:p w14:paraId="008365B8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情绪指标</w:t>
      </w:r>
      <w:r w:rsidRPr="00123B6B">
        <w:t>：设置“媒体情绪指数”，70%单向乐观/悲观时反向操作（2007年</w:t>
      </w:r>
      <w:proofErr w:type="gramStart"/>
      <w:r w:rsidRPr="00123B6B">
        <w:t>次贷危机前减仓</w:t>
      </w:r>
      <w:proofErr w:type="gramEnd"/>
      <w:r w:rsidRPr="00123B6B">
        <w:t>地产股）；</w:t>
      </w:r>
    </w:p>
    <w:p w14:paraId="4BE1FB4A" w14:textId="77777777" w:rsidR="00123B6B" w:rsidRPr="00123B6B" w:rsidRDefault="00123B6B" w:rsidP="00123B6B">
      <w:pPr>
        <w:numPr>
          <w:ilvl w:val="1"/>
          <w:numId w:val="1"/>
        </w:numPr>
      </w:pPr>
      <w:r w:rsidRPr="00123B6B">
        <w:rPr>
          <w:b/>
          <w:bCs/>
        </w:rPr>
        <w:t>危机介入</w:t>
      </w:r>
      <w:r w:rsidRPr="00123B6B">
        <w:t>：仅在市场</w:t>
      </w:r>
      <w:proofErr w:type="gramStart"/>
      <w:r w:rsidRPr="00123B6B">
        <w:t>恐慌达</w:t>
      </w:r>
      <w:proofErr w:type="gramEnd"/>
      <w:r w:rsidRPr="00123B6B">
        <w:t>极端值时出手（如2008年以面值1-3</w:t>
      </w:r>
      <w:proofErr w:type="gramStart"/>
      <w:r w:rsidRPr="00123B6B">
        <w:t>折收购</w:t>
      </w:r>
      <w:proofErr w:type="gramEnd"/>
      <w:r w:rsidRPr="00123B6B">
        <w:t>福特汽车信贷债券）。</w:t>
      </w:r>
    </w:p>
    <w:p w14:paraId="37722F9C" w14:textId="77777777" w:rsidR="00123B6B" w:rsidRPr="00123B6B" w:rsidRDefault="00123B6B" w:rsidP="00123B6B">
      <w:r w:rsidRPr="00123B6B">
        <w:pict w14:anchorId="482ED79D">
          <v:rect id="_x0000_i1062" style="width:0;height:1.5pt" o:hralign="center" o:hrstd="t" o:hr="t" fillcolor="#a0a0a0" stroked="f"/>
        </w:pict>
      </w:r>
    </w:p>
    <w:p w14:paraId="32993DED" w14:textId="77777777" w:rsidR="00123B6B" w:rsidRPr="00123B6B" w:rsidRDefault="00123B6B" w:rsidP="00123B6B">
      <w:pPr>
        <w:rPr>
          <w:b/>
          <w:bCs/>
        </w:rPr>
      </w:pPr>
      <w:r w:rsidRPr="00123B6B">
        <w:rPr>
          <w:b/>
          <w:bCs/>
        </w:rPr>
        <w:lastRenderedPageBreak/>
        <w:t>二、具体操作细节</w:t>
      </w:r>
    </w:p>
    <w:p w14:paraId="3BE98729" w14:textId="77777777" w:rsidR="00123B6B" w:rsidRPr="00123B6B" w:rsidRDefault="00123B6B" w:rsidP="00123B6B">
      <w:pPr>
        <w:numPr>
          <w:ilvl w:val="0"/>
          <w:numId w:val="2"/>
        </w:numPr>
      </w:pPr>
      <w:r w:rsidRPr="00123B6B">
        <w:rPr>
          <w:b/>
          <w:bCs/>
        </w:rPr>
        <w:t>危机中的操作模板（以2008年为例）</w:t>
      </w:r>
    </w:p>
    <w:p w14:paraId="08F3167A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预判储备</w:t>
      </w:r>
      <w:r w:rsidRPr="00123B6B">
        <w:t>：2006年起阶梯式增持现金至48%；</w:t>
      </w:r>
    </w:p>
    <w:p w14:paraId="70B1ECFB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精准伏击</w:t>
      </w:r>
      <w:r w:rsidRPr="00123B6B">
        <w:t xml:space="preserve">：以面值0.25-0.4倍收购福特汽车信贷债券，押注“车贷偿付优先性”，最终获利9.3亿美元； </w:t>
      </w:r>
    </w:p>
    <w:p w14:paraId="74DD4EE5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法律博弈</w:t>
      </w:r>
      <w:r w:rsidRPr="00123B6B">
        <w:t>：联合对冲基金迫使克莱斯勒破产案清偿率从19%提升至52%。</w:t>
      </w:r>
    </w:p>
    <w:p w14:paraId="69288ED1" w14:textId="77777777" w:rsidR="00123B6B" w:rsidRPr="00123B6B" w:rsidRDefault="00123B6B" w:rsidP="00123B6B">
      <w:pPr>
        <w:numPr>
          <w:ilvl w:val="0"/>
          <w:numId w:val="2"/>
        </w:numPr>
      </w:pPr>
      <w:r w:rsidRPr="00123B6B">
        <w:rPr>
          <w:b/>
          <w:bCs/>
        </w:rPr>
        <w:t>特殊机会投资</w:t>
      </w:r>
    </w:p>
    <w:p w14:paraId="53FBC9DB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破产债权</w:t>
      </w:r>
      <w:r w:rsidRPr="00123B6B">
        <w:t>：1985年以0.</w:t>
      </w:r>
      <w:proofErr w:type="gramStart"/>
      <w:r w:rsidRPr="00123B6B">
        <w:t>4倍市净率</w:t>
      </w:r>
      <w:proofErr w:type="gramEnd"/>
      <w:r w:rsidRPr="00123B6B">
        <w:t xml:space="preserve">收购LTV钢铁债券，工厂设备评估价值为市值的2.3倍，三年后年化回报34%； </w:t>
      </w:r>
    </w:p>
    <w:p w14:paraId="7D7BBFE8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分拆与重组</w:t>
      </w:r>
      <w:r w:rsidRPr="00123B6B">
        <w:t>：2001年以每股0.17美元收购Kmart破产债权，重组后获得Seritage Growth Properties股权，2015年以每股52美元退出，</w:t>
      </w:r>
      <w:proofErr w:type="gramStart"/>
      <w:r w:rsidRPr="00123B6B">
        <w:t>年化回报</w:t>
      </w:r>
      <w:proofErr w:type="gramEnd"/>
      <w:r w:rsidRPr="00123B6B">
        <w:t>29%。</w:t>
      </w:r>
    </w:p>
    <w:p w14:paraId="0F7E0FF6" w14:textId="77777777" w:rsidR="00123B6B" w:rsidRPr="00123B6B" w:rsidRDefault="00123B6B" w:rsidP="00123B6B">
      <w:pPr>
        <w:numPr>
          <w:ilvl w:val="0"/>
          <w:numId w:val="2"/>
        </w:numPr>
      </w:pPr>
      <w:r w:rsidRPr="00123B6B">
        <w:rPr>
          <w:b/>
          <w:bCs/>
        </w:rPr>
        <w:t>组合管理</w:t>
      </w:r>
    </w:p>
    <w:p w14:paraId="7236FA66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现金堡垒</w:t>
      </w:r>
      <w:r w:rsidRPr="00123B6B">
        <w:t>：市场高估时大幅增持现金（1999年互联网泡沫期间现金比例42%）；</w:t>
      </w:r>
    </w:p>
    <w:p w14:paraId="42311770" w14:textId="77777777" w:rsidR="00123B6B" w:rsidRPr="00123B6B" w:rsidRDefault="00123B6B" w:rsidP="00123B6B">
      <w:pPr>
        <w:numPr>
          <w:ilvl w:val="1"/>
          <w:numId w:val="2"/>
        </w:numPr>
      </w:pPr>
      <w:r w:rsidRPr="00123B6B">
        <w:rPr>
          <w:b/>
          <w:bCs/>
        </w:rPr>
        <w:t>分散与集中</w:t>
      </w:r>
      <w:r w:rsidRPr="00123B6B">
        <w:t>：</w:t>
      </w:r>
      <w:proofErr w:type="gramStart"/>
      <w:r w:rsidRPr="00123B6B">
        <w:t>单行业</w:t>
      </w:r>
      <w:proofErr w:type="gramEnd"/>
      <w:r w:rsidRPr="00123B6B">
        <w:t>持仓不超过20%，但允许高确定性</w:t>
      </w:r>
      <w:proofErr w:type="gramStart"/>
      <w:r w:rsidRPr="00123B6B">
        <w:t>下集中押注</w:t>
      </w:r>
      <w:proofErr w:type="gramEnd"/>
      <w:r w:rsidRPr="00123B6B">
        <w:t>（如2008年</w:t>
      </w:r>
      <w:proofErr w:type="gramStart"/>
      <w:r w:rsidRPr="00123B6B">
        <w:t>金融债占组合</w:t>
      </w:r>
      <w:proofErr w:type="gramEnd"/>
      <w:r w:rsidRPr="00123B6B">
        <w:t>35%）。</w:t>
      </w:r>
    </w:p>
    <w:p w14:paraId="705CEB3E" w14:textId="77777777" w:rsidR="00123B6B" w:rsidRPr="00123B6B" w:rsidRDefault="00123B6B" w:rsidP="00123B6B">
      <w:r w:rsidRPr="00123B6B">
        <w:pict w14:anchorId="48126AF1">
          <v:rect id="_x0000_i1063" style="width:0;height:1.5pt" o:hralign="center" o:hrstd="t" o:hr="t" fillcolor="#a0a0a0" stroked="f"/>
        </w:pict>
      </w:r>
    </w:p>
    <w:p w14:paraId="37B99545" w14:textId="77777777" w:rsidR="00123B6B" w:rsidRPr="00123B6B" w:rsidRDefault="00123B6B" w:rsidP="00123B6B">
      <w:pPr>
        <w:rPr>
          <w:b/>
          <w:bCs/>
        </w:rPr>
      </w:pPr>
      <w:r w:rsidRPr="00123B6B">
        <w:rPr>
          <w:b/>
          <w:bCs/>
        </w:rPr>
        <w:t>三、组织与文化</w:t>
      </w:r>
    </w:p>
    <w:p w14:paraId="65A059B2" w14:textId="77777777" w:rsidR="00123B6B" w:rsidRPr="00123B6B" w:rsidRDefault="00123B6B" w:rsidP="00123B6B">
      <w:pPr>
        <w:numPr>
          <w:ilvl w:val="0"/>
          <w:numId w:val="3"/>
        </w:numPr>
      </w:pPr>
      <w:r w:rsidRPr="00123B6B">
        <w:rPr>
          <w:b/>
          <w:bCs/>
        </w:rPr>
        <w:t>团队协作</w:t>
      </w:r>
    </w:p>
    <w:p w14:paraId="539DF581" w14:textId="77777777" w:rsidR="00123B6B" w:rsidRPr="00123B6B" w:rsidRDefault="00123B6B" w:rsidP="00123B6B">
      <w:pPr>
        <w:numPr>
          <w:ilvl w:val="1"/>
          <w:numId w:val="3"/>
        </w:numPr>
      </w:pPr>
      <w:r w:rsidRPr="00123B6B">
        <w:rPr>
          <w:b/>
          <w:bCs/>
        </w:rPr>
        <w:t>学徒制</w:t>
      </w:r>
      <w:r w:rsidRPr="00123B6B">
        <w:t xml:space="preserve">：核心成员David Stemper（任职34年）执掌不良债权团队，开发“破产债权三维评分模型”； </w:t>
      </w:r>
    </w:p>
    <w:p w14:paraId="6DE028A8" w14:textId="77777777" w:rsidR="00123B6B" w:rsidRPr="00123B6B" w:rsidRDefault="00123B6B" w:rsidP="00123B6B">
      <w:pPr>
        <w:numPr>
          <w:ilvl w:val="1"/>
          <w:numId w:val="3"/>
        </w:numPr>
      </w:pPr>
      <w:r w:rsidRPr="00123B6B">
        <w:rPr>
          <w:b/>
          <w:bCs/>
        </w:rPr>
        <w:t>反向路演</w:t>
      </w:r>
      <w:r w:rsidRPr="00123B6B">
        <w:t>：研究员需以卖方立场攻击己方持仓逻辑，通过后方可提交投资委员会。</w:t>
      </w:r>
    </w:p>
    <w:p w14:paraId="4B84AA38" w14:textId="77777777" w:rsidR="00123B6B" w:rsidRPr="00123B6B" w:rsidRDefault="00123B6B" w:rsidP="00123B6B">
      <w:pPr>
        <w:numPr>
          <w:ilvl w:val="0"/>
          <w:numId w:val="3"/>
        </w:numPr>
      </w:pPr>
      <w:r w:rsidRPr="00123B6B">
        <w:rPr>
          <w:b/>
          <w:bCs/>
        </w:rPr>
        <w:t>风险控制机制</w:t>
      </w:r>
    </w:p>
    <w:p w14:paraId="3B83037B" w14:textId="77777777" w:rsidR="00123B6B" w:rsidRPr="00123B6B" w:rsidRDefault="00123B6B" w:rsidP="00123B6B">
      <w:pPr>
        <w:numPr>
          <w:ilvl w:val="1"/>
          <w:numId w:val="3"/>
        </w:numPr>
      </w:pPr>
      <w:r w:rsidRPr="00123B6B">
        <w:rPr>
          <w:b/>
          <w:bCs/>
        </w:rPr>
        <w:t>三</w:t>
      </w:r>
      <w:proofErr w:type="gramStart"/>
      <w:r w:rsidRPr="00123B6B">
        <w:rPr>
          <w:b/>
          <w:bCs/>
        </w:rPr>
        <w:t>阶压力</w:t>
      </w:r>
      <w:proofErr w:type="gramEnd"/>
      <w:r w:rsidRPr="00123B6B">
        <w:rPr>
          <w:b/>
          <w:bCs/>
        </w:rPr>
        <w:t>测试</w:t>
      </w:r>
      <w:r w:rsidRPr="00123B6B">
        <w:t>：每笔交易需模拟宏观冲击、行业崩盘、管理层欺诈下的存活率；</w:t>
      </w:r>
    </w:p>
    <w:p w14:paraId="2C29570F" w14:textId="77777777" w:rsidR="00123B6B" w:rsidRPr="00123B6B" w:rsidRDefault="00123B6B" w:rsidP="00123B6B">
      <w:pPr>
        <w:numPr>
          <w:ilvl w:val="1"/>
          <w:numId w:val="3"/>
        </w:numPr>
      </w:pPr>
      <w:r w:rsidRPr="00123B6B">
        <w:rPr>
          <w:b/>
          <w:bCs/>
        </w:rPr>
        <w:t>预葬思维</w:t>
      </w:r>
      <w:r w:rsidRPr="00123B6B">
        <w:t>：要求研究员为每笔推荐撰写“墓志铭”，假设五年后失败需列明三个错误。</w:t>
      </w:r>
    </w:p>
    <w:p w14:paraId="48FD97F7" w14:textId="77777777" w:rsidR="00123B6B" w:rsidRPr="00123B6B" w:rsidRDefault="00123B6B" w:rsidP="00123B6B">
      <w:r w:rsidRPr="00123B6B">
        <w:lastRenderedPageBreak/>
        <w:pict w14:anchorId="059D6F47">
          <v:rect id="_x0000_i1064" style="width:0;height:1.5pt" o:hralign="center" o:hrstd="t" o:hr="t" fillcolor="#a0a0a0" stroked="f"/>
        </w:pict>
      </w:r>
    </w:p>
    <w:p w14:paraId="43BBBD71" w14:textId="77777777" w:rsidR="00123B6B" w:rsidRPr="00123B6B" w:rsidRDefault="00123B6B" w:rsidP="00123B6B">
      <w:pPr>
        <w:rPr>
          <w:b/>
          <w:bCs/>
        </w:rPr>
      </w:pPr>
      <w:r w:rsidRPr="00123B6B">
        <w:rPr>
          <w:b/>
          <w:bCs/>
        </w:rPr>
        <w:t>四、对中国投资者的启示</w:t>
      </w:r>
    </w:p>
    <w:p w14:paraId="145F624F" w14:textId="77777777" w:rsidR="00123B6B" w:rsidRPr="00123B6B" w:rsidRDefault="00123B6B" w:rsidP="00123B6B">
      <w:pPr>
        <w:numPr>
          <w:ilvl w:val="0"/>
          <w:numId w:val="4"/>
        </w:numPr>
      </w:pPr>
      <w:proofErr w:type="gramStart"/>
      <w:r w:rsidRPr="00123B6B">
        <w:rPr>
          <w:b/>
          <w:bCs/>
        </w:rPr>
        <w:t>房企债务</w:t>
      </w:r>
      <w:proofErr w:type="gramEnd"/>
      <w:r w:rsidRPr="00123B6B">
        <w:rPr>
          <w:b/>
          <w:bCs/>
        </w:rPr>
        <w:t>重组</w:t>
      </w:r>
    </w:p>
    <w:p w14:paraId="2A4B2467" w14:textId="77777777" w:rsidR="00123B6B" w:rsidRPr="00123B6B" w:rsidRDefault="00123B6B" w:rsidP="00123B6B">
      <w:pPr>
        <w:numPr>
          <w:ilvl w:val="1"/>
          <w:numId w:val="4"/>
        </w:numPr>
      </w:pPr>
      <w:r w:rsidRPr="00123B6B">
        <w:t>折价收购</w:t>
      </w:r>
      <w:proofErr w:type="gramStart"/>
      <w:r w:rsidRPr="00123B6B">
        <w:t>美元债需绑定</w:t>
      </w:r>
      <w:proofErr w:type="gramEnd"/>
      <w:r w:rsidRPr="00123B6B">
        <w:t>核心资产抵押（参考Baupost 2012年爱尔兰地产操作）；</w:t>
      </w:r>
    </w:p>
    <w:p w14:paraId="1FC043A2" w14:textId="77777777" w:rsidR="00123B6B" w:rsidRPr="00123B6B" w:rsidRDefault="00123B6B" w:rsidP="00123B6B">
      <w:pPr>
        <w:numPr>
          <w:ilvl w:val="1"/>
          <w:numId w:val="4"/>
        </w:numPr>
      </w:pPr>
      <w:r w:rsidRPr="00123B6B">
        <w:t>通过法律诉讼将购房者债权列为优先债务（借鉴《破产法》第82条）。</w:t>
      </w:r>
    </w:p>
    <w:p w14:paraId="2DEF6AE1" w14:textId="77777777" w:rsidR="00123B6B" w:rsidRPr="00123B6B" w:rsidRDefault="00123B6B" w:rsidP="00123B6B">
      <w:pPr>
        <w:numPr>
          <w:ilvl w:val="0"/>
          <w:numId w:val="4"/>
        </w:numPr>
      </w:pPr>
      <w:r w:rsidRPr="00123B6B">
        <w:rPr>
          <w:b/>
          <w:bCs/>
        </w:rPr>
        <w:t>个人避险策略</w:t>
      </w:r>
    </w:p>
    <w:p w14:paraId="54E40916" w14:textId="77777777" w:rsidR="00123B6B" w:rsidRPr="00123B6B" w:rsidRDefault="00123B6B" w:rsidP="00123B6B">
      <w:pPr>
        <w:numPr>
          <w:ilvl w:val="1"/>
          <w:numId w:val="4"/>
        </w:numPr>
      </w:pPr>
      <w:r w:rsidRPr="00123B6B">
        <w:rPr>
          <w:b/>
          <w:bCs/>
        </w:rPr>
        <w:t>抗崩溃组合</w:t>
      </w:r>
      <w:r w:rsidRPr="00123B6B">
        <w:t>：高现金流公用事业股（如长江电力）+黄金ETF+离岸美元债（比例5:3:2）；</w:t>
      </w:r>
    </w:p>
    <w:p w14:paraId="4B3D788B" w14:textId="77777777" w:rsidR="00123B6B" w:rsidRPr="00123B6B" w:rsidRDefault="00123B6B" w:rsidP="00123B6B">
      <w:pPr>
        <w:numPr>
          <w:ilvl w:val="1"/>
          <w:numId w:val="4"/>
        </w:numPr>
      </w:pPr>
      <w:r w:rsidRPr="00123B6B">
        <w:rPr>
          <w:b/>
          <w:bCs/>
        </w:rPr>
        <w:t>年度压力测试</w:t>
      </w:r>
      <w:r w:rsidRPr="00123B6B">
        <w:t>：模拟失业率10%下的现金流断裂风险，清仓无法承受3年零收入的资产。</w:t>
      </w:r>
    </w:p>
    <w:p w14:paraId="10464763" w14:textId="77777777" w:rsidR="00123B6B" w:rsidRPr="00123B6B" w:rsidRDefault="00123B6B" w:rsidP="00123B6B">
      <w:r w:rsidRPr="00123B6B">
        <w:pict w14:anchorId="03C2B477">
          <v:rect id="_x0000_i1065" style="width:0;height:1.5pt" o:hralign="center" o:hrstd="t" o:hr="t" fillcolor="#a0a0a0" stroked="f"/>
        </w:pict>
      </w:r>
    </w:p>
    <w:p w14:paraId="732D611A" w14:textId="77777777" w:rsidR="00123B6B" w:rsidRPr="00123B6B" w:rsidRDefault="00123B6B" w:rsidP="00123B6B">
      <w:pPr>
        <w:rPr>
          <w:b/>
          <w:bCs/>
        </w:rPr>
      </w:pPr>
      <w:r w:rsidRPr="00123B6B">
        <w:rPr>
          <w:b/>
          <w:bCs/>
        </w:rPr>
        <w:t>五、关键语录</w:t>
      </w:r>
    </w:p>
    <w:p w14:paraId="2EF30EDE" w14:textId="77777777" w:rsidR="00123B6B" w:rsidRPr="00123B6B" w:rsidRDefault="00123B6B" w:rsidP="00123B6B">
      <w:pPr>
        <w:numPr>
          <w:ilvl w:val="0"/>
          <w:numId w:val="5"/>
        </w:numPr>
      </w:pPr>
      <w:r w:rsidRPr="00123B6B">
        <w:rPr>
          <w:b/>
          <w:bCs/>
        </w:rPr>
        <w:t>关于周期</w:t>
      </w:r>
      <w:r w:rsidRPr="00123B6B">
        <w:t>：“市场记忆只有18个月。当人们高呼‘这次不一样’时，往往预示着历史正在重演。”（2011年哥伦比亚大学演讲）</w:t>
      </w:r>
    </w:p>
    <w:p w14:paraId="3D8E2E32" w14:textId="77777777" w:rsidR="00123B6B" w:rsidRPr="00123B6B" w:rsidRDefault="00123B6B" w:rsidP="00123B6B">
      <w:pPr>
        <w:numPr>
          <w:ilvl w:val="0"/>
          <w:numId w:val="5"/>
        </w:numPr>
      </w:pPr>
      <w:r w:rsidRPr="00123B6B">
        <w:rPr>
          <w:b/>
          <w:bCs/>
        </w:rPr>
        <w:t>关于决策</w:t>
      </w:r>
      <w:r w:rsidRPr="00123B6B">
        <w:t xml:space="preserve">：“让研究员为每笔推荐撰写‘墓志铭’，这种‘预葬思维’能剥离过度自信。”（2020年致投资者信） </w:t>
      </w:r>
    </w:p>
    <w:p w14:paraId="128EFBF3" w14:textId="77777777" w:rsidR="00123B6B" w:rsidRPr="00123B6B" w:rsidRDefault="00123B6B" w:rsidP="00123B6B">
      <w:pPr>
        <w:numPr>
          <w:ilvl w:val="0"/>
          <w:numId w:val="5"/>
        </w:numPr>
      </w:pPr>
      <w:r w:rsidRPr="00123B6B">
        <w:rPr>
          <w:b/>
          <w:bCs/>
        </w:rPr>
        <w:t>关于风险</w:t>
      </w:r>
      <w:r w:rsidRPr="00123B6B">
        <w:t>：“真正的风险不在市场波动，而在对自己无知的漠视。”（《安全边际》结语）</w:t>
      </w:r>
    </w:p>
    <w:p w14:paraId="12644D35" w14:textId="77777777" w:rsidR="00123B6B" w:rsidRPr="00123B6B" w:rsidRDefault="00123B6B" w:rsidP="00123B6B">
      <w:r w:rsidRPr="00123B6B">
        <w:pict w14:anchorId="5F91D926">
          <v:rect id="_x0000_i1066" style="width:0;height:1.5pt" o:hralign="center" o:hrstd="t" o:hr="t" fillcolor="#a0a0a0" stroked="f"/>
        </w:pict>
      </w:r>
    </w:p>
    <w:p w14:paraId="2CF29903" w14:textId="77777777" w:rsidR="00123B6B" w:rsidRPr="00123B6B" w:rsidRDefault="00123B6B" w:rsidP="00123B6B">
      <w:r w:rsidRPr="00123B6B">
        <w:t>卡拉曼的体系强调</w:t>
      </w:r>
      <w:r w:rsidRPr="00123B6B">
        <w:rPr>
          <w:b/>
          <w:bCs/>
        </w:rPr>
        <w:t>极端风险厌恶、</w:t>
      </w:r>
      <w:proofErr w:type="gramStart"/>
      <w:r w:rsidRPr="00123B6B">
        <w:rPr>
          <w:b/>
          <w:bCs/>
        </w:rPr>
        <w:t>法律尽调深度</w:t>
      </w:r>
      <w:proofErr w:type="gramEnd"/>
      <w:r w:rsidRPr="00123B6B">
        <w:rPr>
          <w:b/>
          <w:bCs/>
        </w:rPr>
        <w:t>、逆向布局时机</w:t>
      </w:r>
      <w:r w:rsidRPr="00123B6B">
        <w:t>，其成功依赖于对市场非有效性的利用和严格的纪律性。对中国投资者而言，需结合本土法律与市场结构，灵活适配其核心理念。</w:t>
      </w:r>
    </w:p>
    <w:p w14:paraId="71F32129" w14:textId="77777777" w:rsidR="00123B6B" w:rsidRDefault="00123B6B"/>
    <w:sectPr w:rsidR="00123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537"/>
    <w:multiLevelType w:val="multilevel"/>
    <w:tmpl w:val="5E12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A2CD5"/>
    <w:multiLevelType w:val="multilevel"/>
    <w:tmpl w:val="6392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36B09"/>
    <w:multiLevelType w:val="multilevel"/>
    <w:tmpl w:val="326E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02D19"/>
    <w:multiLevelType w:val="multilevel"/>
    <w:tmpl w:val="C6E6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A2029"/>
    <w:multiLevelType w:val="multilevel"/>
    <w:tmpl w:val="0A9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8817">
    <w:abstractNumId w:val="1"/>
  </w:num>
  <w:num w:numId="2" w16cid:durableId="1983389546">
    <w:abstractNumId w:val="2"/>
  </w:num>
  <w:num w:numId="3" w16cid:durableId="1709255165">
    <w:abstractNumId w:val="3"/>
  </w:num>
  <w:num w:numId="4" w16cid:durableId="2044593648">
    <w:abstractNumId w:val="0"/>
  </w:num>
  <w:num w:numId="5" w16cid:durableId="330840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6B"/>
    <w:rsid w:val="000D7730"/>
    <w:rsid w:val="0012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62FE"/>
  <w15:chartTrackingRefBased/>
  <w15:docId w15:val="{F5C0221A-44A3-41FD-AB62-89D48848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B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B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B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B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B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B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B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B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B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3B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B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B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B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B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2025-04-20T12:52:00Z</dcterms:created>
  <dcterms:modified xsi:type="dcterms:W3CDTF">2025-04-20T12:52:00Z</dcterms:modified>
</cp:coreProperties>
</file>