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09B4F" w14:textId="77777777" w:rsidR="00BE30A6" w:rsidRPr="00BE30A6" w:rsidRDefault="00BE30A6" w:rsidP="00BE30A6">
      <w:pPr>
        <w:rPr>
          <w:b/>
          <w:bCs/>
        </w:rPr>
      </w:pPr>
      <w:r w:rsidRPr="00BE30A6">
        <w:rPr>
          <w:b/>
          <w:bCs/>
        </w:rPr>
        <w:t>十倍思维AI选股框架</w:t>
      </w:r>
    </w:p>
    <w:p w14:paraId="0D8304A3" w14:textId="77777777" w:rsidR="00BE30A6" w:rsidRPr="00BE30A6" w:rsidRDefault="00BE30A6" w:rsidP="00BE30A6">
      <w:r w:rsidRPr="00BE30A6">
        <w:rPr>
          <w:b/>
          <w:bCs/>
        </w:rPr>
        <w:t>概述：</w:t>
      </w:r>
      <w:r w:rsidRPr="00BE30A6">
        <w:t xml:space="preserve"> 本框架结合“折价→修复→扩张”的周期视角与Dan Sullivan“10X思维”理念，从定性和定量两个层面构建一个选股与评分体系，旨在通过AI自动筛选未来10年可能上涨10倍的港股、美股、A股公司。框架将自动获取实时股价和财报数据（假设可接数据接口），围绕十倍股的核心特征和路径进行多维度打分。</w:t>
      </w:r>
    </w:p>
    <w:p w14:paraId="76559A02" w14:textId="77777777" w:rsidR="00BE30A6" w:rsidRPr="00BE30A6" w:rsidRDefault="00BE30A6" w:rsidP="00BE30A6">
      <w:pPr>
        <w:rPr>
          <w:b/>
          <w:bCs/>
        </w:rPr>
      </w:pPr>
      <w:r w:rsidRPr="00BE30A6">
        <w:rPr>
          <w:b/>
          <w:bCs/>
        </w:rPr>
        <w:t>一、十倍股的定性特征</w:t>
      </w:r>
    </w:p>
    <w:p w14:paraId="4D0232CA" w14:textId="77777777" w:rsidR="00BE30A6" w:rsidRPr="00BE30A6" w:rsidRDefault="00BE30A6" w:rsidP="00BE30A6">
      <w:pPr>
        <w:numPr>
          <w:ilvl w:val="0"/>
          <w:numId w:val="2"/>
        </w:numPr>
      </w:pPr>
      <w:r w:rsidRPr="00BE30A6">
        <w:rPr>
          <w:b/>
          <w:bCs/>
        </w:rPr>
        <w:t>市场与需求潜力</w:t>
      </w:r>
      <w:r w:rsidRPr="00BE30A6">
        <w:t>：十倍股往往处于</w:t>
      </w:r>
      <w:r w:rsidRPr="00BE30A6">
        <w:rPr>
          <w:b/>
          <w:bCs/>
        </w:rPr>
        <w:t>高速成长的行业</w:t>
      </w:r>
      <w:r w:rsidRPr="00BE30A6">
        <w:t>或宽广的可拓展市场（TAM），具备</w:t>
      </w:r>
      <w:proofErr w:type="gramStart"/>
      <w:r w:rsidRPr="00BE30A6">
        <w:t>指数级</w:t>
      </w:r>
      <w:proofErr w:type="gramEnd"/>
      <w:r w:rsidRPr="00BE30A6">
        <w:t>的增长机会。新兴或细分领域的</w:t>
      </w:r>
      <w:r w:rsidRPr="00BE30A6">
        <w:rPr>
          <w:b/>
          <w:bCs/>
        </w:rPr>
        <w:t>先发优势</w:t>
      </w:r>
      <w:r w:rsidRPr="00BE30A6">
        <w:t>特别显著，如早期Netflix主导流媒体、特斯拉开创电动车市场、</w:t>
      </w:r>
      <w:proofErr w:type="gramStart"/>
      <w:r w:rsidRPr="00BE30A6">
        <w:t>英伟达</w:t>
      </w:r>
      <w:proofErr w:type="gramEnd"/>
      <w:r w:rsidRPr="00BE30A6">
        <w:t>抢占GPU+AI算力高地等。这类公司对应的</w:t>
      </w:r>
      <w:r w:rsidRPr="00BE30A6">
        <w:rPr>
          <w:b/>
          <w:bCs/>
        </w:rPr>
        <w:t>真实需求持续上升</w:t>
      </w:r>
      <w:r w:rsidRPr="00BE30A6">
        <w:t>，且市场规模巨大，为长期增长提供了基础。</w:t>
      </w:r>
    </w:p>
    <w:p w14:paraId="68635728" w14:textId="77777777" w:rsidR="00BE30A6" w:rsidRPr="00BE30A6" w:rsidRDefault="00BE30A6" w:rsidP="00BE30A6">
      <w:pPr>
        <w:numPr>
          <w:ilvl w:val="0"/>
          <w:numId w:val="2"/>
        </w:numPr>
      </w:pPr>
      <w:r w:rsidRPr="00BE30A6">
        <w:rPr>
          <w:b/>
          <w:bCs/>
        </w:rPr>
        <w:t>高扩展性的商业模式</w:t>
      </w:r>
      <w:r w:rsidRPr="00BE30A6">
        <w:t>：典型的十倍股具有</w:t>
      </w:r>
      <w:r w:rsidRPr="00BE30A6">
        <w:rPr>
          <w:b/>
          <w:bCs/>
        </w:rPr>
        <w:t>高毛利、易复制</w:t>
      </w:r>
      <w:r w:rsidRPr="00BE30A6">
        <w:t>的业务模式，初期构建模式后可快速复制到更多区域或客户群，实现规模效应。例如SaaS类企业通过订阅模式建立稳定经常性收入并享受高毛利；互联网平台和社交网络类企业则凭借</w:t>
      </w:r>
      <w:r w:rsidRPr="00BE30A6">
        <w:rPr>
          <w:b/>
          <w:bCs/>
        </w:rPr>
        <w:t>网络效应</w:t>
      </w:r>
      <w:r w:rsidRPr="00BE30A6">
        <w:t>（用户越多价值越高）在低边际成本下实现盈利</w:t>
      </w:r>
      <w:proofErr w:type="gramStart"/>
      <w:r w:rsidRPr="00BE30A6">
        <w:t>指数级</w:t>
      </w:r>
      <w:proofErr w:type="gramEnd"/>
      <w:r w:rsidRPr="00BE30A6">
        <w:t>增长。这些优势有助于在收入增长的同时不断提升利润率。</w:t>
      </w:r>
    </w:p>
    <w:p w14:paraId="46138953" w14:textId="77777777" w:rsidR="00BE30A6" w:rsidRPr="00BE30A6" w:rsidRDefault="00BE30A6" w:rsidP="00BE30A6">
      <w:pPr>
        <w:numPr>
          <w:ilvl w:val="0"/>
          <w:numId w:val="2"/>
        </w:numPr>
      </w:pPr>
      <w:r w:rsidRPr="00BE30A6">
        <w:rPr>
          <w:b/>
          <w:bCs/>
        </w:rPr>
        <w:t>坚固的护城河</w:t>
      </w:r>
      <w:r w:rsidRPr="00BE30A6">
        <w:t>：十倍股通常拥有难以被取代的核心竞争力，如技术专利、品牌力、渠道优势或资源壁垒。这使其面对竞争对手时具备</w:t>
      </w:r>
      <w:r w:rsidRPr="00BE30A6">
        <w:rPr>
          <w:b/>
          <w:bCs/>
        </w:rPr>
        <w:t>定价权或提价能力</w:t>
      </w:r>
      <w:r w:rsidRPr="00BE30A6">
        <w:t>，能够保护高利润率。例如茅台凭品牌溢价、</w:t>
      </w:r>
      <w:proofErr w:type="gramStart"/>
      <w:r w:rsidRPr="00BE30A6">
        <w:t>英伟达凭</w:t>
      </w:r>
      <w:proofErr w:type="gramEnd"/>
      <w:r w:rsidRPr="00BE30A6">
        <w:t>GPU/AI技术垄断地位等都是典型案例。这些护城河使公司在行业上行时能持续获得超额利润。</w:t>
      </w:r>
    </w:p>
    <w:p w14:paraId="76880F4A" w14:textId="77777777" w:rsidR="00BE30A6" w:rsidRPr="00BE30A6" w:rsidRDefault="00BE30A6" w:rsidP="00BE30A6">
      <w:pPr>
        <w:numPr>
          <w:ilvl w:val="0"/>
          <w:numId w:val="2"/>
        </w:numPr>
      </w:pPr>
      <w:r w:rsidRPr="00BE30A6">
        <w:rPr>
          <w:b/>
          <w:bCs/>
        </w:rPr>
        <w:t>优秀的管理层与资本配置能力</w:t>
      </w:r>
      <w:r w:rsidRPr="00BE30A6">
        <w:t>：能够成为十倍股的公司，其管理</w:t>
      </w:r>
      <w:proofErr w:type="gramStart"/>
      <w:r w:rsidRPr="00BE30A6">
        <w:t>层往往</w:t>
      </w:r>
      <w:proofErr w:type="gramEnd"/>
      <w:r w:rsidRPr="00BE30A6">
        <w:t>具备远见和执行力。他们能够精准捕捉行业趋势、果断进行战略重组，勇于放弃低效业务，专注高增长领域。此外，合理的资本配置（如高回报项目再投资、分红回购等）是长期复利增长的关键。Dan Sullivan指出，</w:t>
      </w:r>
      <w:r w:rsidRPr="00BE30A6">
        <w:rPr>
          <w:b/>
          <w:bCs/>
        </w:rPr>
        <w:t>10X思维</w:t>
      </w:r>
      <w:r w:rsidRPr="00BE30A6">
        <w:t>强调放弃低价值机会，将时间和资源集中于</w:t>
      </w:r>
      <w:proofErr w:type="gramStart"/>
      <w:r w:rsidRPr="00BE30A6">
        <w:t>最</w:t>
      </w:r>
      <w:proofErr w:type="gramEnd"/>
      <w:r w:rsidRPr="00BE30A6">
        <w:t>关键的发展方向，对应到投资上就是只关注那些有</w:t>
      </w:r>
      <w:proofErr w:type="gramStart"/>
      <w:r w:rsidRPr="00BE30A6">
        <w:t>10倍潜力</w:t>
      </w:r>
      <w:proofErr w:type="gramEnd"/>
      <w:r w:rsidRPr="00BE30A6">
        <w:t>的标的，自动筛除增长乏力的公司。</w:t>
      </w:r>
    </w:p>
    <w:p w14:paraId="5CBF776D" w14:textId="77777777" w:rsidR="00BE30A6" w:rsidRPr="00BE30A6" w:rsidRDefault="00BE30A6" w:rsidP="00BE30A6">
      <w:pPr>
        <w:numPr>
          <w:ilvl w:val="0"/>
          <w:numId w:val="2"/>
        </w:numPr>
      </w:pPr>
      <w:r w:rsidRPr="00BE30A6">
        <w:rPr>
          <w:b/>
          <w:bCs/>
        </w:rPr>
        <w:t>行业景气与政策红利</w:t>
      </w:r>
      <w:r w:rsidRPr="00BE30A6">
        <w:t>：十倍股所在行业往往受宏观周期与政策趋势双重推动。如互联网、云计算、AI、新能源等领域在过去十年出现过众多十倍股。行业景气回暖、需求爆发可以带动估值显著提升；同时，税收优惠、补贴政策等也可能显著放大利润。需要注意的是，如果行业周期处于上升阶段，则更有利于公司实现可持续增长，否则即使公司优秀也可能受到宏观流动性不足的制约。</w:t>
      </w:r>
    </w:p>
    <w:p w14:paraId="38558004" w14:textId="77777777" w:rsidR="00BE30A6" w:rsidRPr="00BE30A6" w:rsidRDefault="00BE30A6" w:rsidP="00BE30A6">
      <w:pPr>
        <w:numPr>
          <w:ilvl w:val="0"/>
          <w:numId w:val="2"/>
        </w:numPr>
      </w:pPr>
      <w:r w:rsidRPr="00BE30A6">
        <w:rPr>
          <w:b/>
          <w:bCs/>
        </w:rPr>
        <w:t>不同类型的上涨路径</w:t>
      </w:r>
      <w:r w:rsidRPr="00BE30A6">
        <w:t>：历史经验表明，十倍股不止一种模式。一般可分为：</w:t>
      </w:r>
    </w:p>
    <w:p w14:paraId="431CF71D" w14:textId="77777777" w:rsidR="00BE30A6" w:rsidRPr="00BE30A6" w:rsidRDefault="00BE30A6" w:rsidP="00BE30A6">
      <w:pPr>
        <w:numPr>
          <w:ilvl w:val="1"/>
          <w:numId w:val="2"/>
        </w:numPr>
      </w:pPr>
      <w:r w:rsidRPr="00BE30A6">
        <w:t>长期稳健复合增长型：公司长期保持15%-30%</w:t>
      </w:r>
      <w:proofErr w:type="gramStart"/>
      <w:r w:rsidRPr="00BE30A6">
        <w:t>的年化营</w:t>
      </w:r>
      <w:proofErr w:type="gramEnd"/>
      <w:r w:rsidRPr="00BE30A6">
        <w:t>收和利润增长，凭借品牌、网络效应等坚固护城河，估值维持在高位或缓慢上升，如亚马逊、苹果、微软等。在此过程中，股价通过“盈利复利+估值稳定”实现多倍增长。</w:t>
      </w:r>
    </w:p>
    <w:p w14:paraId="4940EF52" w14:textId="77777777" w:rsidR="00BE30A6" w:rsidRPr="00BE30A6" w:rsidRDefault="00BE30A6" w:rsidP="00BE30A6">
      <w:pPr>
        <w:numPr>
          <w:ilvl w:val="1"/>
          <w:numId w:val="2"/>
        </w:numPr>
      </w:pPr>
      <w:r w:rsidRPr="00BE30A6">
        <w:t>周期性反转型：公司所属行业具有明显周期性（如能源、航运、大宗化工等），在底部时估值和盈利大幅低迷，一旦行业供需改善或价格暴涨，业绩和股价爆发性上升。典型如油价回升时的页岩油公司、运价飙升时的航运股等。</w:t>
      </w:r>
    </w:p>
    <w:p w14:paraId="5B2A0A2F" w14:textId="77777777" w:rsidR="00BE30A6" w:rsidRPr="00BE30A6" w:rsidRDefault="00BE30A6" w:rsidP="00BE30A6">
      <w:pPr>
        <w:numPr>
          <w:ilvl w:val="1"/>
          <w:numId w:val="2"/>
        </w:numPr>
      </w:pPr>
      <w:r w:rsidRPr="00BE30A6">
        <w:t>困境反转型：公司因管理失误或一时经营困境导致股价崩跌，后经换帅或转型后重新走上正轨，市场预期从濒死转为复苏。例如AMD从亏损到成功翻身、Netflix从DVD租赁转型流媒体后的飞速增长、宝洁重组业务后的估值重塑等。</w:t>
      </w:r>
    </w:p>
    <w:p w14:paraId="76D58E67" w14:textId="77777777" w:rsidR="00BE30A6" w:rsidRPr="00BE30A6" w:rsidRDefault="00BE30A6" w:rsidP="00BE30A6">
      <w:pPr>
        <w:numPr>
          <w:ilvl w:val="1"/>
          <w:numId w:val="2"/>
        </w:numPr>
      </w:pPr>
      <w:r w:rsidRPr="00BE30A6">
        <w:t>创新驱动型：处于颠覆性新技术/商业模式的公司，早期可能不盈利，但一旦技术或模式验证成功后进入</w:t>
      </w:r>
      <w:proofErr w:type="gramStart"/>
      <w:r w:rsidRPr="00BE30A6">
        <w:t>指数级</w:t>
      </w:r>
      <w:proofErr w:type="gramEnd"/>
      <w:r w:rsidRPr="00BE30A6">
        <w:t>增长期。如特斯拉开创电动车市场、生物医药研发成功后的股价暴涨、AI时代的</w:t>
      </w:r>
      <w:proofErr w:type="gramStart"/>
      <w:r w:rsidRPr="00BE30A6">
        <w:t>英伟达</w:t>
      </w:r>
      <w:proofErr w:type="gramEnd"/>
      <w:r w:rsidRPr="00BE30A6">
        <w:t>等。</w:t>
      </w:r>
    </w:p>
    <w:p w14:paraId="79C503BE" w14:textId="77777777" w:rsidR="00BE30A6" w:rsidRPr="00BE30A6" w:rsidRDefault="00BE30A6" w:rsidP="00BE30A6">
      <w:pPr>
        <w:numPr>
          <w:ilvl w:val="0"/>
          <w:numId w:val="2"/>
        </w:numPr>
      </w:pPr>
      <w:r w:rsidRPr="00BE30A6">
        <w:rPr>
          <w:b/>
          <w:bCs/>
        </w:rPr>
        <w:lastRenderedPageBreak/>
        <w:t>定性总结</w:t>
      </w:r>
      <w:r w:rsidRPr="00BE30A6">
        <w:t>：从Dan Sullivan的10X视角看，十倍股的核心特征可以抽象为：“</w:t>
      </w:r>
      <w:r w:rsidRPr="00BE30A6">
        <w:rPr>
          <w:b/>
          <w:bCs/>
        </w:rPr>
        <w:t>显著的盈利增长潜力 + 难以复制的竞争优势 + 拥有10X思维的管理层</w:t>
      </w:r>
      <w:r w:rsidRPr="00BE30A6">
        <w:t>”，以及“</w:t>
      </w:r>
      <w:r w:rsidRPr="00BE30A6">
        <w:rPr>
          <w:b/>
          <w:bCs/>
        </w:rPr>
        <w:t>初始估值具备一定折价或合理，后续伴随利润提升获得估值倍增</w:t>
      </w:r>
      <w:r w:rsidRPr="00BE30A6">
        <w:t>”。换言之，只有当企业内在增长潜能足够、基本面可持续提升时，才有可能通过“折价→修复→扩张”的乘数效应成就10倍股。</w:t>
      </w:r>
    </w:p>
    <w:p w14:paraId="162D99D2" w14:textId="77777777" w:rsidR="00BE30A6" w:rsidRPr="00BE30A6" w:rsidRDefault="00BE30A6" w:rsidP="00BE30A6">
      <w:pPr>
        <w:rPr>
          <w:b/>
          <w:bCs/>
        </w:rPr>
      </w:pPr>
      <w:r w:rsidRPr="00BE30A6">
        <w:rPr>
          <w:b/>
          <w:bCs/>
        </w:rPr>
        <w:t>二、定量指标体系</w:t>
      </w:r>
    </w:p>
    <w:p w14:paraId="6E72C243" w14:textId="77777777" w:rsidR="00BE30A6" w:rsidRPr="00BE30A6" w:rsidRDefault="00BE30A6" w:rsidP="00BE30A6">
      <w:r w:rsidRPr="00BE30A6">
        <w:rPr>
          <w:b/>
          <w:bCs/>
        </w:rPr>
        <w:t>核心财务指标：</w:t>
      </w:r>
    </w:p>
    <w:p w14:paraId="43936E4A" w14:textId="77777777" w:rsidR="00BE30A6" w:rsidRPr="00BE30A6" w:rsidRDefault="00BE30A6" w:rsidP="00BE30A6">
      <w:pPr>
        <w:numPr>
          <w:ilvl w:val="0"/>
          <w:numId w:val="3"/>
        </w:numPr>
      </w:pPr>
      <w:r w:rsidRPr="00BE30A6">
        <w:rPr>
          <w:b/>
          <w:bCs/>
        </w:rPr>
        <w:t>增长指标</w:t>
      </w:r>
      <w:r w:rsidRPr="00BE30A6">
        <w:t>：关注营收和净利润（EPS）的复合年增长率，一般以15%~25%以上为佳。同时要考虑利润弹性，如固定成本摊薄效应带来的利润增长加速（营</w:t>
      </w:r>
      <w:proofErr w:type="gramStart"/>
      <w:r w:rsidRPr="00BE30A6">
        <w:t>收增长</w:t>
      </w:r>
      <w:proofErr w:type="gramEnd"/>
      <w:r w:rsidRPr="00BE30A6">
        <w:t>10%对应利润增速可达20%）。AI系统可通过财报数据</w:t>
      </w:r>
      <w:proofErr w:type="gramStart"/>
      <w:r w:rsidRPr="00BE30A6">
        <w:t>计算近</w:t>
      </w:r>
      <w:proofErr w:type="gramEnd"/>
      <w:r w:rsidRPr="00BE30A6">
        <w:t>五年或十年复合增速，并与行业均值比较，筛选出高于行业或历史趋势的标的。</w:t>
      </w:r>
    </w:p>
    <w:p w14:paraId="09FAE0BB" w14:textId="77777777" w:rsidR="00BE30A6" w:rsidRPr="00BE30A6" w:rsidRDefault="00BE30A6" w:rsidP="00BE30A6">
      <w:pPr>
        <w:numPr>
          <w:ilvl w:val="0"/>
          <w:numId w:val="3"/>
        </w:numPr>
      </w:pPr>
      <w:r w:rsidRPr="00BE30A6">
        <w:rPr>
          <w:b/>
          <w:bCs/>
        </w:rPr>
        <w:t>盈利能力</w:t>
      </w:r>
      <w:r w:rsidRPr="00BE30A6">
        <w:t>：考察</w:t>
      </w:r>
      <w:r w:rsidRPr="00BE30A6">
        <w:rPr>
          <w:b/>
          <w:bCs/>
        </w:rPr>
        <w:t>利润率水平与扩张趋势</w:t>
      </w:r>
      <w:r w:rsidRPr="00BE30A6">
        <w:t>，包括毛利率、净利率以及经营现金流率等指标。高毛利和持续提高的净利率是长期复利的保证。贝叶斯研究发现，超过900家过去10年翻10倍的公司大多经历了营业利润率的持续扩张。AI可监测毛利率与净利率变化趋势，若出现转折向好（如成本结构改善、新业务附加值提升导致利润率上涨），则计入正向得分。</w:t>
      </w:r>
    </w:p>
    <w:p w14:paraId="788C2339" w14:textId="77777777" w:rsidR="00BE30A6" w:rsidRPr="00BE30A6" w:rsidRDefault="00BE30A6" w:rsidP="00BE30A6">
      <w:pPr>
        <w:numPr>
          <w:ilvl w:val="0"/>
          <w:numId w:val="3"/>
        </w:numPr>
      </w:pPr>
      <w:r w:rsidRPr="00BE30A6">
        <w:rPr>
          <w:b/>
          <w:bCs/>
        </w:rPr>
        <w:t>现金流与财务健康</w:t>
      </w:r>
      <w:r w:rsidRPr="00BE30A6">
        <w:t>：优质公司通常拥有</w:t>
      </w:r>
      <w:r w:rsidRPr="00BE30A6">
        <w:rPr>
          <w:b/>
          <w:bCs/>
        </w:rPr>
        <w:t>高自由现金流</w:t>
      </w:r>
      <w:r w:rsidRPr="00BE30A6">
        <w:t>（FCF）而非仅仅账面利润。自由现金</w:t>
      </w:r>
      <w:proofErr w:type="gramStart"/>
      <w:r w:rsidRPr="00BE30A6">
        <w:t>流占市值比高且</w:t>
      </w:r>
      <w:proofErr w:type="gramEnd"/>
      <w:r w:rsidRPr="00BE30A6">
        <w:t>负债水平低的公司更易生存并进行股东回报（回购分红）。AI系统需计算FCF/市值、资产负债率、利息覆盖率等指标，确保目标公司能“自我造血”，并抵御宏观波动。</w:t>
      </w:r>
    </w:p>
    <w:p w14:paraId="333031E0" w14:textId="77777777" w:rsidR="00BE30A6" w:rsidRPr="00BE30A6" w:rsidRDefault="00BE30A6" w:rsidP="00BE30A6">
      <w:pPr>
        <w:numPr>
          <w:ilvl w:val="0"/>
          <w:numId w:val="3"/>
        </w:numPr>
      </w:pPr>
      <w:r w:rsidRPr="00BE30A6">
        <w:rPr>
          <w:b/>
          <w:bCs/>
        </w:rPr>
        <w:t>估值指标</w:t>
      </w:r>
      <w:r w:rsidRPr="00BE30A6">
        <w:t>：初始估值水平是关键，“低估值”常对应极端悲观。常用估值指标包括市盈率（PE）、</w:t>
      </w:r>
      <w:proofErr w:type="gramStart"/>
      <w:r w:rsidRPr="00BE30A6">
        <w:t>市净率</w:t>
      </w:r>
      <w:proofErr w:type="gramEnd"/>
      <w:r w:rsidRPr="00BE30A6">
        <w:t>（PB）、市销率（PS）及EV/EBITDA等。AI可实时对比当前估值与历史区间或行业中位水平，识别出估值明显处于底部或低位的公司。同时关注PEG（PE除以EPS增长率）等指标，寻找“估值低而增长高”组合。</w:t>
      </w:r>
    </w:p>
    <w:p w14:paraId="5AF63511" w14:textId="77777777" w:rsidR="00BE30A6" w:rsidRPr="00BE30A6" w:rsidRDefault="00BE30A6" w:rsidP="00BE30A6">
      <w:pPr>
        <w:numPr>
          <w:ilvl w:val="0"/>
          <w:numId w:val="3"/>
        </w:numPr>
      </w:pPr>
      <w:r w:rsidRPr="00BE30A6">
        <w:rPr>
          <w:b/>
          <w:bCs/>
        </w:rPr>
        <w:t>其他指标</w:t>
      </w:r>
      <w:r w:rsidRPr="00BE30A6">
        <w:t>：包括研发投入比率（保障长期增长）、产品线或地域多元化程度、管理层持股比例等软性指标。尽管难以量化，AI可通过自然语言处理技术从财报、新闻和研究报告中提取这些信息，辅助判断公司的潜在竞争力。</w:t>
      </w:r>
    </w:p>
    <w:p w14:paraId="325EAD16" w14:textId="77777777" w:rsidR="00BE30A6" w:rsidRPr="00BE30A6" w:rsidRDefault="00BE30A6" w:rsidP="00BE30A6">
      <w:r w:rsidRPr="00BE30A6">
        <w:rPr>
          <w:b/>
          <w:bCs/>
        </w:rPr>
        <w:t>评分模型：</w:t>
      </w:r>
      <w:r w:rsidRPr="00BE30A6">
        <w:t xml:space="preserve"> 综合以上指标，构建多因子评分体系。可以设定权重，例如</w:t>
      </w:r>
      <w:proofErr w:type="gramStart"/>
      <w:r w:rsidRPr="00BE30A6">
        <w:t>令增长</w:t>
      </w:r>
      <w:proofErr w:type="gramEnd"/>
      <w:r w:rsidRPr="00BE30A6">
        <w:t>因子、估值因子、质量因子（利润率、现金流）各占一定比重，对每只股票计算综合“</w:t>
      </w:r>
      <w:proofErr w:type="gramStart"/>
      <w:r w:rsidRPr="00BE30A6">
        <w:t>10倍潜力</w:t>
      </w:r>
      <w:proofErr w:type="gramEnd"/>
      <w:r w:rsidRPr="00BE30A6">
        <w:t>得分”。在筛选时，首先要求该得分超过阈值的标的进入候选池，再结合下一阶段择时逻辑决定持仓。值得注意的是，10X思维要求设置更高的门槛，主动舍弃多数增长平庸的机会。AI模型可通过机器学习（如分类模型）在历史样本中学习哪些指标组合最常见于历史10倍股，进一步优化打分机制。</w:t>
      </w:r>
    </w:p>
    <w:p w14:paraId="7522EBA6" w14:textId="77777777" w:rsidR="00BE30A6" w:rsidRPr="00BE30A6" w:rsidRDefault="00BE30A6" w:rsidP="00BE30A6">
      <w:pPr>
        <w:rPr>
          <w:b/>
          <w:bCs/>
        </w:rPr>
      </w:pPr>
      <w:r w:rsidRPr="00BE30A6">
        <w:rPr>
          <w:b/>
          <w:bCs/>
        </w:rPr>
        <w:t>三、择时逻辑：折价→修复→扩张</w:t>
      </w:r>
    </w:p>
    <w:p w14:paraId="57B72428" w14:textId="77777777" w:rsidR="00BE30A6" w:rsidRPr="00BE30A6" w:rsidRDefault="00BE30A6" w:rsidP="00BE30A6">
      <w:r w:rsidRPr="00BE30A6">
        <w:t>投资十倍股不仅要看标的本身，还要把握宏观与市场情绪的时机。核心思路是“</w:t>
      </w:r>
      <w:r w:rsidRPr="00BE30A6">
        <w:rPr>
          <w:b/>
          <w:bCs/>
        </w:rPr>
        <w:t>折价-修复-扩张</w:t>
      </w:r>
      <w:r w:rsidRPr="00BE30A6">
        <w:t>”的循环阶段：</w:t>
      </w:r>
    </w:p>
    <w:p w14:paraId="27F2FF41" w14:textId="77777777" w:rsidR="00BE30A6" w:rsidRPr="00BE30A6" w:rsidRDefault="00BE30A6" w:rsidP="00BE30A6">
      <w:pPr>
        <w:numPr>
          <w:ilvl w:val="0"/>
          <w:numId w:val="4"/>
        </w:numPr>
      </w:pPr>
      <w:r w:rsidRPr="00BE30A6">
        <w:rPr>
          <w:b/>
          <w:bCs/>
        </w:rPr>
        <w:t>折价阶段</w:t>
      </w:r>
      <w:r w:rsidRPr="00BE30A6">
        <w:t>：在市场极度悲观时布局。此时标的往往估值大幅下跌至历史底部（PE/PB等处于多年来极低值），但公司基本面并未彻底恶化。例如2022年英伟达、Netflix、Spotify等科技股在受行业周期波动影响时出现估值腰斩。AI系统可设置监控条件，如当前PE低于5年分位点、</w:t>
      </w:r>
      <w:proofErr w:type="gramStart"/>
      <w:r w:rsidRPr="00BE30A6">
        <w:t>股价近一年跌幅超</w:t>
      </w:r>
      <w:proofErr w:type="gramEnd"/>
      <w:r w:rsidRPr="00BE30A6">
        <w:t>50%</w:t>
      </w:r>
      <w:proofErr w:type="gramStart"/>
      <w:r w:rsidRPr="00BE30A6">
        <w:t>且净利润</w:t>
      </w:r>
      <w:proofErr w:type="gramEnd"/>
      <w:r w:rsidRPr="00BE30A6">
        <w:t>未崩溃时触发“潜在折价”信号。</w:t>
      </w:r>
    </w:p>
    <w:p w14:paraId="30372998" w14:textId="77777777" w:rsidR="00BE30A6" w:rsidRPr="00BE30A6" w:rsidRDefault="00BE30A6" w:rsidP="00BE30A6">
      <w:pPr>
        <w:numPr>
          <w:ilvl w:val="0"/>
          <w:numId w:val="4"/>
        </w:numPr>
      </w:pPr>
      <w:r w:rsidRPr="00BE30A6">
        <w:rPr>
          <w:b/>
          <w:bCs/>
        </w:rPr>
        <w:t>修复拐点</w:t>
      </w:r>
      <w:r w:rsidRPr="00BE30A6">
        <w:t>：在企业基本</w:t>
      </w:r>
      <w:proofErr w:type="gramStart"/>
      <w:r w:rsidRPr="00BE30A6">
        <w:t>面改善</w:t>
      </w:r>
      <w:proofErr w:type="gramEnd"/>
      <w:r w:rsidRPr="00BE30A6">
        <w:t>或宏观环境好转时加仓。具体信号包括：季度或年度净利润和EPS出现转正或持续增长、利润率提升、新业务稳步贡献、管理</w:t>
      </w:r>
      <w:proofErr w:type="gramStart"/>
      <w:r w:rsidRPr="00BE30A6">
        <w:t>层发布</w:t>
      </w:r>
      <w:proofErr w:type="gramEnd"/>
      <w:r w:rsidRPr="00BE30A6">
        <w:t>乐观指引、分析师上调盈利预期等。同时，宏观流动性宽松、行业数据好转或政策扶</w:t>
      </w:r>
      <w:r w:rsidRPr="00BE30A6">
        <w:lastRenderedPageBreak/>
        <w:t>持等会成为催化剂。AI可以跟踪连续季度业绩变化（如连续两个季度同比增长）以及消息面信息（大宗商品价格反弹、政策消息发布等）来捕捉修复信号。一旦确认修复，通常会看到股票开始反弹，估值逐步回升到合理区间。</w:t>
      </w:r>
    </w:p>
    <w:p w14:paraId="4F4382E9" w14:textId="77777777" w:rsidR="00BE30A6" w:rsidRPr="00BE30A6" w:rsidRDefault="00BE30A6" w:rsidP="00BE30A6">
      <w:pPr>
        <w:numPr>
          <w:ilvl w:val="0"/>
          <w:numId w:val="4"/>
        </w:numPr>
      </w:pPr>
      <w:r w:rsidRPr="00BE30A6">
        <w:rPr>
          <w:b/>
          <w:bCs/>
        </w:rPr>
        <w:t>扩张阶段</w:t>
      </w:r>
      <w:r w:rsidRPr="00BE30A6">
        <w:t>：在业绩持续高增长且市场风险偏好上升时持有。此时公司已经在修复基础上证明了可持续成长性，市场逐渐赋予更高估值。AI在这一阶段可继续持有，以分享乘数效应：营业收入和利润的复合增长与估值扩张相乘，使股价产生数倍乃至十倍涨幅。如</w:t>
      </w:r>
      <w:proofErr w:type="gramStart"/>
      <w:r w:rsidRPr="00BE30A6">
        <w:t>英伟达</w:t>
      </w:r>
      <w:proofErr w:type="gramEnd"/>
      <w:r w:rsidRPr="00BE30A6">
        <w:t>在确认AI长期爆发后，从估值修复（PE抬升）到冲击历史高点，股价实现了倍数上涨。需要注意的是，当股价上涨过快或基本面出现变化时，要及时</w:t>
      </w:r>
      <w:proofErr w:type="gramStart"/>
      <w:r w:rsidRPr="00BE30A6">
        <w:t>评估并止盈</w:t>
      </w:r>
      <w:proofErr w:type="gramEnd"/>
      <w:r w:rsidRPr="00BE30A6">
        <w:t>或对冲风险。</w:t>
      </w:r>
    </w:p>
    <w:p w14:paraId="6C02048D" w14:textId="77777777" w:rsidR="00BE30A6" w:rsidRPr="00BE30A6" w:rsidRDefault="00BE30A6" w:rsidP="00BE30A6">
      <w:pPr>
        <w:numPr>
          <w:ilvl w:val="0"/>
          <w:numId w:val="4"/>
        </w:numPr>
      </w:pPr>
      <w:r w:rsidRPr="00BE30A6">
        <w:rPr>
          <w:b/>
          <w:bCs/>
        </w:rPr>
        <w:t>风险控制</w:t>
      </w:r>
      <w:r w:rsidRPr="00BE30A6">
        <w:t>：在整个投资过程中，AI应持续监测公司的护城河是否被破坏（如竞争加剧、需求萎缩等），避免陷入价值陷阱。在“扩张”阶段也要谨防过度贪婪，参考贝叶斯提示，“涨了一点就跑”可能错失主要涨幅，但估值远超基本面时则需警惕。</w:t>
      </w:r>
    </w:p>
    <w:p w14:paraId="2475823F" w14:textId="77777777" w:rsidR="00BE30A6" w:rsidRPr="00BE30A6" w:rsidRDefault="00BE30A6" w:rsidP="00BE30A6">
      <w:pPr>
        <w:rPr>
          <w:b/>
          <w:bCs/>
        </w:rPr>
      </w:pPr>
      <w:r w:rsidRPr="00BE30A6">
        <w:rPr>
          <w:b/>
          <w:bCs/>
        </w:rPr>
        <w:t>四、估值与利润的乘数模型</w:t>
      </w:r>
    </w:p>
    <w:p w14:paraId="4B126974" w14:textId="77777777" w:rsidR="00BE30A6" w:rsidRPr="00BE30A6" w:rsidRDefault="00BE30A6" w:rsidP="00BE30A6">
      <w:r w:rsidRPr="00BE30A6">
        <w:rPr>
          <w:b/>
          <w:bCs/>
        </w:rPr>
        <w:t>基本逻辑：</w:t>
      </w:r>
      <w:r w:rsidRPr="00BE30A6">
        <w:t xml:space="preserve"> 十倍股的核心是</w:t>
      </w:r>
      <w:r w:rsidRPr="00BE30A6">
        <w:rPr>
          <w:b/>
          <w:bCs/>
        </w:rPr>
        <w:t>盈利增长与估值扩张的乘数效应</w:t>
      </w:r>
      <w:r w:rsidRPr="00BE30A6">
        <w:t>。数学上，可用简化模型说明：股价 = EPS × PE。例如，如果某公司年盈利10亿元、PE为10倍，则市值100亿元；当盈利增长到15亿、PE升至15倍时，市值变为225亿元，实现约2.25倍增长；若后续盈利达到25亿、PE升至20倍，则市值500亿，实现5倍增长；进一步盈利50亿、PE25-30倍，可使市值到1000-1500亿，实现10倍以上。这一过程中，“业绩增长”和“估值回升”双轮驱动股价升值。</w:t>
      </w:r>
    </w:p>
    <w:p w14:paraId="1C645452" w14:textId="77777777" w:rsidR="00BE30A6" w:rsidRPr="00BE30A6" w:rsidRDefault="00BE30A6" w:rsidP="00BE30A6">
      <w:r w:rsidRPr="00BE30A6">
        <w:rPr>
          <w:b/>
          <w:bCs/>
        </w:rPr>
        <w:t>关键前提：</w:t>
      </w:r>
      <w:r w:rsidRPr="00BE30A6">
        <w:t xml:space="preserve"> 上述乘数效应的前提是盈利增长具备可持续性。只有当利润逐年稳步提升并转化为现金流，市场才会从“冰点”估值一路修复并最终给予溢价。相反，若盈利改善仅为一次性或行业周期短暂好转，则估值修复后可能回落，不会产生10倍走势。因此，AI定量模型中需重点评估盈利的持续弹性和新盈利引擎的可行性。</w:t>
      </w:r>
    </w:p>
    <w:p w14:paraId="500384B6" w14:textId="77777777" w:rsidR="00BE30A6" w:rsidRPr="00BE30A6" w:rsidRDefault="00BE30A6" w:rsidP="00BE30A6">
      <w:r w:rsidRPr="00BE30A6">
        <w:rPr>
          <w:b/>
          <w:bCs/>
        </w:rPr>
        <w:t>例子：</w:t>
      </w:r>
      <w:r w:rsidRPr="00BE30A6">
        <w:t xml:space="preserve"> 贝叶斯美的模型演示：假设初始EPS=1元，每年增长20%（10年后≈6.19倍）；初始PE=15，10年后PE线性升至30；则10年后股价约为初始的12.4倍。该数学模型虽简化，但展示了“持续利润增长＋估值扩张”如何叠加产生10倍以上回报。在实际中，AI还应纳入分红回购、周期波动等因素，以获得更精确的预测。</w:t>
      </w:r>
    </w:p>
    <w:p w14:paraId="3207196D" w14:textId="77777777" w:rsidR="00BE30A6" w:rsidRPr="00BE30A6" w:rsidRDefault="00BE30A6" w:rsidP="00BE30A6">
      <w:pPr>
        <w:rPr>
          <w:b/>
          <w:bCs/>
        </w:rPr>
      </w:pPr>
      <w:r w:rsidRPr="00BE30A6">
        <w:rPr>
          <w:b/>
          <w:bCs/>
        </w:rPr>
        <w:t>五、十年情景模拟模型</w:t>
      </w:r>
    </w:p>
    <w:p w14:paraId="5567463C" w14:textId="77777777" w:rsidR="00BE30A6" w:rsidRPr="00BE30A6" w:rsidRDefault="00BE30A6" w:rsidP="00BE30A6">
      <w:r w:rsidRPr="00BE30A6">
        <w:t>构建</w:t>
      </w:r>
      <w:r w:rsidRPr="00BE30A6">
        <w:rPr>
          <w:b/>
          <w:bCs/>
        </w:rPr>
        <w:t>10年情景模拟</w:t>
      </w:r>
      <w:r w:rsidRPr="00BE30A6">
        <w:t>可帮助评估标的未来可能路径。方法如下：</w:t>
      </w:r>
    </w:p>
    <w:p w14:paraId="75FE4B41" w14:textId="77777777" w:rsidR="00BE30A6" w:rsidRPr="00BE30A6" w:rsidRDefault="00BE30A6" w:rsidP="00BE30A6">
      <w:pPr>
        <w:numPr>
          <w:ilvl w:val="0"/>
          <w:numId w:val="5"/>
        </w:numPr>
      </w:pPr>
      <w:r w:rsidRPr="00BE30A6">
        <w:rPr>
          <w:b/>
          <w:bCs/>
        </w:rPr>
        <w:t>参数设定</w:t>
      </w:r>
      <w:r w:rsidRPr="00BE30A6">
        <w:t>：确定模拟起点（当前财报数据）。设置假设：初始每股收益EPS</w:t>
      </w:r>
      <w:r w:rsidRPr="00BE30A6">
        <w:rPr>
          <w:rFonts w:ascii="Cambria Math" w:hAnsi="Cambria Math" w:cs="Cambria Math"/>
        </w:rPr>
        <w:t>₀</w:t>
      </w:r>
      <w:r w:rsidRPr="00BE30A6">
        <w:t>，</w:t>
      </w:r>
      <w:proofErr w:type="gramStart"/>
      <w:r w:rsidRPr="00BE30A6">
        <w:t>年化增长率</w:t>
      </w:r>
      <w:proofErr w:type="gramEnd"/>
      <w:r w:rsidRPr="00BE30A6">
        <w:t>g，初始估值PE</w:t>
      </w:r>
      <w:r w:rsidRPr="00BE30A6">
        <w:rPr>
          <w:rFonts w:ascii="Cambria Math" w:hAnsi="Cambria Math" w:cs="Cambria Math"/>
        </w:rPr>
        <w:t>₀</w:t>
      </w:r>
      <w:r w:rsidRPr="00BE30A6">
        <w:t>及10年后目标估值PE</w:t>
      </w:r>
      <w:r w:rsidRPr="00BE30A6">
        <w:rPr>
          <w:rFonts w:ascii="Cambria Math" w:hAnsi="Cambria Math" w:cs="Cambria Math"/>
        </w:rPr>
        <w:t>₁</w:t>
      </w:r>
      <w:r w:rsidRPr="00BE30A6">
        <w:t>等。例如，可设EPS</w:t>
      </w:r>
      <w:r w:rsidRPr="00BE30A6">
        <w:rPr>
          <w:rFonts w:ascii="Cambria Math" w:hAnsi="Cambria Math" w:cs="Cambria Math"/>
        </w:rPr>
        <w:t>₀</w:t>
      </w:r>
      <w:r w:rsidRPr="00BE30A6">
        <w:t>=1元、g=20%、PE</w:t>
      </w:r>
      <w:r w:rsidRPr="00BE30A6">
        <w:rPr>
          <w:rFonts w:ascii="Cambria Math" w:hAnsi="Cambria Math" w:cs="Cambria Math"/>
        </w:rPr>
        <w:t>₀</w:t>
      </w:r>
      <w:r w:rsidRPr="00BE30A6">
        <w:t>=15、PE</w:t>
      </w:r>
      <w:r w:rsidRPr="00BE30A6">
        <w:rPr>
          <w:rFonts w:ascii="Cambria Math" w:hAnsi="Cambria Math" w:cs="Cambria Math"/>
        </w:rPr>
        <w:t>₁</w:t>
      </w:r>
      <w:r w:rsidRPr="00BE30A6">
        <w:t>=30，对应贝叶斯美示例。</w:t>
      </w:r>
    </w:p>
    <w:p w14:paraId="3799E630" w14:textId="77777777" w:rsidR="00BE30A6" w:rsidRPr="00BE30A6" w:rsidRDefault="00BE30A6" w:rsidP="00BE30A6">
      <w:pPr>
        <w:numPr>
          <w:ilvl w:val="0"/>
          <w:numId w:val="5"/>
        </w:numPr>
      </w:pPr>
      <w:r w:rsidRPr="00BE30A6">
        <w:rPr>
          <w:b/>
          <w:bCs/>
        </w:rPr>
        <w:t>模型公式</w:t>
      </w:r>
      <w:r w:rsidRPr="00BE30A6">
        <w:t xml:space="preserve">：每年预测的股价为 </w:t>
      </w:r>
      <w:r w:rsidRPr="00BE30A6">
        <w:rPr>
          <w:i/>
          <w:iCs/>
        </w:rPr>
        <w:t>股价(t) = EPS</w:t>
      </w:r>
      <w:r w:rsidRPr="00BE30A6">
        <w:rPr>
          <w:rFonts w:ascii="Cambria Math" w:hAnsi="Cambria Math" w:cs="Cambria Math"/>
          <w:i/>
          <w:iCs/>
        </w:rPr>
        <w:t>₀</w:t>
      </w:r>
      <w:r w:rsidRPr="00BE30A6">
        <w:rPr>
          <w:rFonts w:ascii="等线" w:eastAsia="等线" w:hAnsi="等线" w:cs="等线" w:hint="eastAsia"/>
          <w:i/>
          <w:iCs/>
        </w:rPr>
        <w:t>×</w:t>
      </w:r>
      <w:r w:rsidRPr="00BE30A6">
        <w:rPr>
          <w:i/>
          <w:iCs/>
        </w:rPr>
        <w:t>(1+g)</w:t>
      </w:r>
      <w:r w:rsidRPr="00BE30A6">
        <w:rPr>
          <w:rFonts w:ascii="Times New Roman" w:hAnsi="Times New Roman" w:cs="Times New Roman"/>
          <w:i/>
          <w:iCs/>
        </w:rPr>
        <w:t>ᵗ</w:t>
      </w:r>
      <w:r w:rsidRPr="00BE30A6">
        <w:rPr>
          <w:i/>
          <w:iCs/>
        </w:rPr>
        <w:t xml:space="preserve"> × PE(t)</w:t>
      </w:r>
      <w:r w:rsidRPr="00BE30A6">
        <w:t xml:space="preserve"> 。其中PE(t)可以简化为线性或其他形态，从PE</w:t>
      </w:r>
      <w:r w:rsidRPr="00BE30A6">
        <w:rPr>
          <w:rFonts w:ascii="Cambria Math" w:hAnsi="Cambria Math" w:cs="Cambria Math"/>
        </w:rPr>
        <w:t>₀</w:t>
      </w:r>
      <w:r w:rsidRPr="00BE30A6">
        <w:t>过渡到PE</w:t>
      </w:r>
      <w:r w:rsidRPr="00BE30A6">
        <w:rPr>
          <w:rFonts w:ascii="Cambria Math" w:hAnsi="Cambria Math" w:cs="Cambria Math"/>
        </w:rPr>
        <w:t>₁</w:t>
      </w:r>
      <w:r w:rsidRPr="00BE30A6">
        <w:t>。也可进一步模拟利润率变化、资本支出、自由现金流率及股东回报等。AI可采用蒙特卡洛模拟或遍历不同情景（如不同增长率、不同估值扩张幅度）来分析结果。</w:t>
      </w:r>
    </w:p>
    <w:p w14:paraId="262096BB" w14:textId="77777777" w:rsidR="00BE30A6" w:rsidRPr="00BE30A6" w:rsidRDefault="00BE30A6" w:rsidP="00BE30A6">
      <w:pPr>
        <w:numPr>
          <w:ilvl w:val="0"/>
          <w:numId w:val="5"/>
        </w:numPr>
      </w:pPr>
      <w:r w:rsidRPr="00BE30A6">
        <w:rPr>
          <w:b/>
          <w:bCs/>
        </w:rPr>
        <w:t>示例结果</w:t>
      </w:r>
      <w:r w:rsidRPr="00BE30A6">
        <w:t>：以上参数下，10年后EPS≈6.19元，PE翻倍至30，股价增长约12.38倍。这一结果说明，只要企业能以~20%以上年化增长盈利，同时估值逐步抬升，10倍回报是可实现的。模型亦提醒投资者，</w:t>
      </w:r>
      <w:proofErr w:type="gramStart"/>
      <w:r w:rsidRPr="00BE30A6">
        <w:t>年化收益需</w:t>
      </w:r>
      <w:proofErr w:type="gramEnd"/>
      <w:r w:rsidRPr="00BE30A6">
        <w:t>达26%左右才能实现10倍。</w:t>
      </w:r>
    </w:p>
    <w:p w14:paraId="4B434EDD" w14:textId="77777777" w:rsidR="00BE30A6" w:rsidRPr="00BE30A6" w:rsidRDefault="00BE30A6" w:rsidP="00BE30A6">
      <w:pPr>
        <w:numPr>
          <w:ilvl w:val="0"/>
          <w:numId w:val="5"/>
        </w:numPr>
      </w:pPr>
      <w:r w:rsidRPr="00BE30A6">
        <w:rPr>
          <w:b/>
          <w:bCs/>
        </w:rPr>
        <w:t>敏感性与风险</w:t>
      </w:r>
      <w:r w:rsidRPr="00BE30A6">
        <w:t>：模拟中可加入不确定性：营</w:t>
      </w:r>
      <w:proofErr w:type="gramStart"/>
      <w:r w:rsidRPr="00BE30A6">
        <w:t>收增长</w:t>
      </w:r>
      <w:proofErr w:type="gramEnd"/>
      <w:r w:rsidRPr="00BE30A6">
        <w:t>的不确定、行业周期波动、意外事件（黑天鹅）、可能的融资摊薄等。AI可评估各种情境下的收益分布，计算实现10倍的概率。</w:t>
      </w:r>
    </w:p>
    <w:p w14:paraId="70354056" w14:textId="77777777" w:rsidR="00BE30A6" w:rsidRPr="00BE30A6" w:rsidRDefault="00BE30A6" w:rsidP="00BE30A6">
      <w:r w:rsidRPr="00BE30A6">
        <w:t>通过情景模拟，AI系统能够量化假设条件下的长期回报路径，辅助判断目标公司在不同增长和估值路径下的潜在表现。</w:t>
      </w:r>
    </w:p>
    <w:p w14:paraId="45F20B18" w14:textId="77777777" w:rsidR="00BE30A6" w:rsidRPr="00BE30A6" w:rsidRDefault="00BE30A6" w:rsidP="00BE30A6">
      <w:pPr>
        <w:rPr>
          <w:b/>
          <w:bCs/>
        </w:rPr>
      </w:pPr>
      <w:r w:rsidRPr="00BE30A6">
        <w:rPr>
          <w:b/>
          <w:bCs/>
        </w:rPr>
        <w:lastRenderedPageBreak/>
        <w:t>六、“折价→修复→扩张”路径识别与评分机制</w:t>
      </w:r>
    </w:p>
    <w:p w14:paraId="71A06844" w14:textId="77777777" w:rsidR="00BE30A6" w:rsidRPr="00BE30A6" w:rsidRDefault="00BE30A6" w:rsidP="00BE30A6">
      <w:r w:rsidRPr="00BE30A6">
        <w:t>基于“折价-修复-扩张”的股价路径，需要构建</w:t>
      </w:r>
      <w:r w:rsidRPr="00BE30A6">
        <w:rPr>
          <w:b/>
          <w:bCs/>
        </w:rPr>
        <w:t>识别与评分机制</w:t>
      </w:r>
      <w:r w:rsidRPr="00BE30A6">
        <w:t>，对每只股票在三个阶段进行量化分析：</w:t>
      </w:r>
    </w:p>
    <w:p w14:paraId="31CCDCA9" w14:textId="77777777" w:rsidR="00BE30A6" w:rsidRPr="00BE30A6" w:rsidRDefault="00BE30A6" w:rsidP="00BE30A6">
      <w:pPr>
        <w:numPr>
          <w:ilvl w:val="0"/>
          <w:numId w:val="6"/>
        </w:numPr>
      </w:pPr>
      <w:r w:rsidRPr="00BE30A6">
        <w:rPr>
          <w:b/>
          <w:bCs/>
        </w:rPr>
        <w:t>折价阶段识别</w:t>
      </w:r>
      <w:r w:rsidRPr="00BE30A6">
        <w:t>：判断是否存在真正的估值折价。AI可考察当下估值指标（PE、PB、EV/EBITDA等）相对历史及同行水平的分位，若处于极低区间且股价已大幅下跌，可视为折价信号。同时需验证基本面是否被破坏：若公司护城河未遭实质性损害，基本业务仍健康，可认为存在修复可能。例如若疫情或政策短暂冲击导致股价暴跌，但主营盈利仍在（如小米、泡泡</w:t>
      </w:r>
      <w:proofErr w:type="gramStart"/>
      <w:r w:rsidRPr="00BE30A6">
        <w:t>玛</w:t>
      </w:r>
      <w:proofErr w:type="gramEnd"/>
      <w:r w:rsidRPr="00BE30A6">
        <w:t>特等港股案例），即为捕捉时机的典型折价点。</w:t>
      </w:r>
    </w:p>
    <w:p w14:paraId="1B39FEDD" w14:textId="77777777" w:rsidR="00BE30A6" w:rsidRPr="00BE30A6" w:rsidRDefault="00BE30A6" w:rsidP="00BE30A6">
      <w:pPr>
        <w:numPr>
          <w:ilvl w:val="0"/>
          <w:numId w:val="6"/>
        </w:numPr>
      </w:pPr>
      <w:r w:rsidRPr="00BE30A6">
        <w:rPr>
          <w:b/>
          <w:bCs/>
        </w:rPr>
        <w:t>修复阶段信号</w:t>
      </w:r>
      <w:r w:rsidRPr="00BE30A6">
        <w:t>：监测盈利和估值的双重转机。一旦连续季度出现业绩复苏（利润和毛利率同比改善）或管理</w:t>
      </w:r>
      <w:proofErr w:type="gramStart"/>
      <w:r w:rsidRPr="00BE30A6">
        <w:t>层发布</w:t>
      </w:r>
      <w:proofErr w:type="gramEnd"/>
      <w:r w:rsidRPr="00BE30A6">
        <w:t>乐观指引、行业环境开始好转，AI应标记修复信号。同时观察市场情绪的回暖：分析师是否开始上调业绩预期、机构关注度是否增加等。若上述因素齐备，可给予较高的“修复得分”。</w:t>
      </w:r>
    </w:p>
    <w:p w14:paraId="1AF311FE" w14:textId="77777777" w:rsidR="00BE30A6" w:rsidRPr="00BE30A6" w:rsidRDefault="00BE30A6" w:rsidP="00BE30A6">
      <w:pPr>
        <w:numPr>
          <w:ilvl w:val="0"/>
          <w:numId w:val="6"/>
        </w:numPr>
      </w:pPr>
      <w:r w:rsidRPr="00BE30A6">
        <w:rPr>
          <w:b/>
          <w:bCs/>
        </w:rPr>
        <w:t>扩张阶段监测</w:t>
      </w:r>
      <w:r w:rsidRPr="00BE30A6">
        <w:t>：在业绩和估值修复后，继续跟踪是否进入高速上涨阶段。当公司持续交付超预期增长，市场风险</w:t>
      </w:r>
      <w:proofErr w:type="gramStart"/>
      <w:r w:rsidRPr="00BE30A6">
        <w:t>偏好回升</w:t>
      </w:r>
      <w:proofErr w:type="gramEnd"/>
      <w:r w:rsidRPr="00BE30A6">
        <w:t>时，估值将进一步上升，股价进入加速期。AI可监测PE的上升趋势、热点资金流入指标、成交量变化等作为扩张信号。一旦确认进入扩张阶段，则继续持有直至股价过热或基本面出现显著恶化。</w:t>
      </w:r>
    </w:p>
    <w:p w14:paraId="7A060F77" w14:textId="77777777" w:rsidR="00BE30A6" w:rsidRPr="00BE30A6" w:rsidRDefault="00BE30A6" w:rsidP="00BE30A6">
      <w:pPr>
        <w:numPr>
          <w:ilvl w:val="0"/>
          <w:numId w:val="6"/>
        </w:numPr>
      </w:pPr>
      <w:r w:rsidRPr="00BE30A6">
        <w:rPr>
          <w:b/>
          <w:bCs/>
        </w:rPr>
        <w:t>综合评分机制</w:t>
      </w:r>
      <w:r w:rsidRPr="00BE30A6">
        <w:t>：将上述阶段信号量化成多项评分：折价得分（基于估值低度）、修复得分（基于盈利改善力度）和扩张得分（基于估值弹性与资金面）。例如，对每只股票计算当前估值相对历史均值的折价程度、连续利润增长季度数、机构买入变化等指标，赋予0-1分值，再加权得到综合得分。当折价得分高且基本面无“价值陷阱”迹象时，即产生潜在布局信号；修复得分上升则可逐步加仓；扩张得分高时保持</w:t>
      </w:r>
      <w:proofErr w:type="gramStart"/>
      <w:r w:rsidRPr="00BE30A6">
        <w:t>仓位</w:t>
      </w:r>
      <w:proofErr w:type="gramEnd"/>
      <w:r w:rsidRPr="00BE30A6">
        <w:t>直至达到目标估值。</w:t>
      </w:r>
    </w:p>
    <w:p w14:paraId="558C5266" w14:textId="77777777" w:rsidR="00BE30A6" w:rsidRPr="00BE30A6" w:rsidRDefault="00BE30A6" w:rsidP="00BE30A6">
      <w:pPr>
        <w:numPr>
          <w:ilvl w:val="0"/>
          <w:numId w:val="6"/>
        </w:numPr>
      </w:pPr>
      <w:r w:rsidRPr="00BE30A6">
        <w:rPr>
          <w:b/>
          <w:bCs/>
        </w:rPr>
        <w:t>示例触发</w:t>
      </w:r>
      <w:r w:rsidRPr="00BE30A6">
        <w:t>：例如设定阈值：当PE/过去5年低位分位数&lt;10%且业绩跌幅&lt;10%，折价得分1；当连续两个季度EPS同比由负转正且利润率提升，修复得分1；当PE回到历史中位以上且股价突破新高，扩张得分1。对标的得分越高，其未来成为10倍股的概率越大。AI可对历史股票进行回测，调整各阶段信号与10倍股实际出现的相关性，持续优化识别和评分。</w:t>
      </w:r>
    </w:p>
    <w:p w14:paraId="0341EACD" w14:textId="77777777" w:rsidR="00BE30A6" w:rsidRPr="00BE30A6" w:rsidRDefault="00BE30A6" w:rsidP="00BE30A6">
      <w:pPr>
        <w:rPr>
          <w:b/>
          <w:bCs/>
        </w:rPr>
      </w:pPr>
      <w:r w:rsidRPr="00BE30A6">
        <w:rPr>
          <w:b/>
          <w:bCs/>
        </w:rPr>
        <w:t>七、融入10X思维的投资心态</w:t>
      </w:r>
    </w:p>
    <w:p w14:paraId="12D9627D" w14:textId="77777777" w:rsidR="00BE30A6" w:rsidRPr="00BE30A6" w:rsidRDefault="00BE30A6" w:rsidP="00BE30A6">
      <w:r w:rsidRPr="00BE30A6">
        <w:t>Dan Sullivan的</w:t>
      </w:r>
      <w:r w:rsidRPr="00BE30A6">
        <w:rPr>
          <w:b/>
          <w:bCs/>
        </w:rPr>
        <w:t>10X思维</w:t>
      </w:r>
      <w:r w:rsidRPr="00BE30A6">
        <w:t>为AI选股提供了心智底座。其核心包括资源聚焦、跳出渐进思维和长期耐心：</w:t>
      </w:r>
    </w:p>
    <w:p w14:paraId="38A408BD" w14:textId="77777777" w:rsidR="00BE30A6" w:rsidRPr="00BE30A6" w:rsidRDefault="00BE30A6" w:rsidP="00BE30A6">
      <w:pPr>
        <w:numPr>
          <w:ilvl w:val="0"/>
          <w:numId w:val="7"/>
        </w:numPr>
      </w:pPr>
      <w:r w:rsidRPr="00BE30A6">
        <w:rPr>
          <w:b/>
          <w:bCs/>
        </w:rPr>
        <w:t>资源聚焦</w:t>
      </w:r>
      <w:r w:rsidRPr="00BE30A6">
        <w:t>：Dan Sullivan指出，当目标从2倍提升到10倍时，我们被迫放弃80%的低价值机会，把时间与资源集中在20%的关键领域。在投资上，这意味着只关注那些真正有望在5~10年内增长数倍的标的，主动筛除增长乏力或护城河薄弱的公司。AI模型在筛选时也应设定更高门槛，只对通过筛选的高质量公司分配研究与持仓资源。</w:t>
      </w:r>
    </w:p>
    <w:p w14:paraId="07F01567" w14:textId="77777777" w:rsidR="00BE30A6" w:rsidRPr="00BE30A6" w:rsidRDefault="00BE30A6" w:rsidP="00BE30A6">
      <w:pPr>
        <w:numPr>
          <w:ilvl w:val="0"/>
          <w:numId w:val="7"/>
        </w:numPr>
      </w:pPr>
      <w:r w:rsidRPr="00BE30A6">
        <w:rPr>
          <w:b/>
          <w:bCs/>
        </w:rPr>
        <w:t>跳出渐进思维</w:t>
      </w:r>
      <w:r w:rsidRPr="00BE30A6">
        <w:t>：10X思维鼓励放弃传统的渐进增量，而追求指数式突破。企业家采用10X视角会选择根本改变业务路径，投资者亦应如此。AI在评估公司时需考虑其能否通过创新或转型触发质变（如新产品、新业务模式），而不仅仅是线性扩张。例如，公司是否有可能因为新技术的验证而进入新的增长拐点，这是常规财务指标难以捕捉的，需要结合前沿趋势和业务逻辑判断。</w:t>
      </w:r>
    </w:p>
    <w:p w14:paraId="2071C29F" w14:textId="77777777" w:rsidR="00BE30A6" w:rsidRPr="00BE30A6" w:rsidRDefault="00BE30A6" w:rsidP="00BE30A6">
      <w:pPr>
        <w:numPr>
          <w:ilvl w:val="0"/>
          <w:numId w:val="7"/>
        </w:numPr>
      </w:pPr>
      <w:r w:rsidRPr="00BE30A6">
        <w:rPr>
          <w:b/>
          <w:bCs/>
        </w:rPr>
        <w:t>长期耐心</w:t>
      </w:r>
      <w:r w:rsidRPr="00BE30A6">
        <w:t>：Dan Sullivan及多位投资大师强调，最大的挑战并非寻找标的，而是长期</w:t>
      </w:r>
      <w:r w:rsidRPr="00BE30A6">
        <w:rPr>
          <w:b/>
          <w:bCs/>
        </w:rPr>
        <w:t>耐心持有</w:t>
      </w:r>
      <w:r w:rsidRPr="00BE30A6">
        <w:t>。十倍股的形成需要时间复利的积累，投资者要有在大恐慌中逆向买入并长期“做时间的朋友”的心态。AI策略上，可设计持仓规则以避免短期震荡触发频繁交易，例如设定宽松止损、持股最低周期等，让股票有充分时间兑现成长预期。</w:t>
      </w:r>
    </w:p>
    <w:p w14:paraId="47441C10" w14:textId="77777777" w:rsidR="00BE30A6" w:rsidRPr="00BE30A6" w:rsidRDefault="00BE30A6" w:rsidP="00BE30A6">
      <w:r w:rsidRPr="00BE30A6">
        <w:lastRenderedPageBreak/>
        <w:t>综上，将</w:t>
      </w:r>
      <w:r w:rsidRPr="00BE30A6">
        <w:rPr>
          <w:b/>
          <w:bCs/>
        </w:rPr>
        <w:t>10X思维</w:t>
      </w:r>
      <w:r w:rsidRPr="00BE30A6">
        <w:t>融入AI模型，即意味着设置更高的选股标准、敢于在恐慌中布局、坚定持有优质标的。投资过程中，应视自身为长期资本，专注少数“高潜力、大成长”的机会，以高要求过滤掉多数平庸或仅能实现短期收益的个股，才能真正捕捉10倍回报。</w:t>
      </w:r>
    </w:p>
    <w:p w14:paraId="1AF56489" w14:textId="77777777" w:rsidR="00BE30A6" w:rsidRPr="00BE30A6" w:rsidRDefault="00BE30A6" w:rsidP="00BE30A6">
      <w:pPr>
        <w:rPr>
          <w:b/>
          <w:bCs/>
        </w:rPr>
      </w:pPr>
      <w:r w:rsidRPr="00BE30A6">
        <w:rPr>
          <w:b/>
          <w:bCs/>
        </w:rPr>
        <w:t>八、总结</w:t>
      </w:r>
    </w:p>
    <w:p w14:paraId="531EA3A0" w14:textId="77777777" w:rsidR="00BE30A6" w:rsidRPr="00BE30A6" w:rsidRDefault="00BE30A6" w:rsidP="00BE30A6">
      <w:r w:rsidRPr="00BE30A6">
        <w:t>通过以上框架，AI系统可以</w:t>
      </w:r>
      <w:r w:rsidRPr="00BE30A6">
        <w:rPr>
          <w:b/>
          <w:bCs/>
        </w:rPr>
        <w:t>系统性地识别与评分</w:t>
      </w:r>
      <w:r w:rsidRPr="00BE30A6">
        <w:t>具有</w:t>
      </w:r>
      <w:proofErr w:type="gramStart"/>
      <w:r w:rsidRPr="00BE30A6">
        <w:t>十倍潜力</w:t>
      </w:r>
      <w:proofErr w:type="gramEnd"/>
      <w:r w:rsidRPr="00BE30A6">
        <w:t>的公司：结合</w:t>
      </w:r>
      <w:r w:rsidRPr="00BE30A6">
        <w:rPr>
          <w:b/>
          <w:bCs/>
        </w:rPr>
        <w:t>定性特征</w:t>
      </w:r>
      <w:r w:rsidRPr="00BE30A6">
        <w:t>（大市场、高壁垒、强管理等）和</w:t>
      </w:r>
      <w:r w:rsidRPr="00BE30A6">
        <w:rPr>
          <w:b/>
          <w:bCs/>
        </w:rPr>
        <w:t>定量因子</w:t>
      </w:r>
      <w:r w:rsidRPr="00BE30A6">
        <w:t>（高速增长、低估值、高现金流等），并依据“折价→修复→扩张”的路径逻辑进行择时判断，再配合10X思维心态设定严格筛选标准。简而言之，只有满足</w:t>
      </w:r>
      <w:r w:rsidRPr="00BE30A6">
        <w:rPr>
          <w:b/>
          <w:bCs/>
        </w:rPr>
        <w:t>高质量+高成长+合理估值+足够耐心</w:t>
      </w:r>
      <w:r w:rsidRPr="00BE30A6">
        <w:t>这些条件的公司，才能有可能在10年内创造十倍回报。AI通过不断对市场数据进行实时监测和模型迭代，将成为投资者“做时间的朋友”，助其在未来拾取更多的10X机会。</w:t>
      </w:r>
    </w:p>
    <w:p w14:paraId="59781261" w14:textId="77777777" w:rsidR="00BE30A6" w:rsidRPr="00BE30A6" w:rsidRDefault="00BE30A6" w:rsidP="00BE30A6">
      <w:r w:rsidRPr="00BE30A6">
        <w:t>**参考资料：**本框架依据用户提供的《万物皆周期：近两年港美十倍股背后的神奇乘数魔法公式》和《十年十倍股复盘：特征与路径建模》，并结合Dan Sullivan《10X Is Easier Than 2X》中的思想论述。上述引用内容提供了十倍股现象的定性总结、数学模型和实战启示，并在此基础上归纳构建了可供AI执行的十倍股选股与打分逻辑。</w:t>
      </w:r>
    </w:p>
    <w:p w14:paraId="49B0D9C1" w14:textId="77777777" w:rsidR="00E276C2" w:rsidRPr="00BE30A6" w:rsidRDefault="00E276C2"/>
    <w:sectPr w:rsidR="00E276C2" w:rsidRPr="00BE30A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2599D"/>
    <w:multiLevelType w:val="multilevel"/>
    <w:tmpl w:val="2B6AD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E569EC"/>
    <w:multiLevelType w:val="multilevel"/>
    <w:tmpl w:val="AD3C5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9F2E05"/>
    <w:multiLevelType w:val="multilevel"/>
    <w:tmpl w:val="721AC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9AC7729"/>
    <w:multiLevelType w:val="multilevel"/>
    <w:tmpl w:val="757A2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301863"/>
    <w:multiLevelType w:val="multilevel"/>
    <w:tmpl w:val="93A0C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7C620C"/>
    <w:multiLevelType w:val="multilevel"/>
    <w:tmpl w:val="5008A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865A3E"/>
    <w:multiLevelType w:val="multilevel"/>
    <w:tmpl w:val="8B9C4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9518268">
    <w:abstractNumId w:val="4"/>
  </w:num>
  <w:num w:numId="2" w16cid:durableId="864707547">
    <w:abstractNumId w:val="5"/>
  </w:num>
  <w:num w:numId="3" w16cid:durableId="1946424936">
    <w:abstractNumId w:val="0"/>
  </w:num>
  <w:num w:numId="4" w16cid:durableId="1786657442">
    <w:abstractNumId w:val="2"/>
  </w:num>
  <w:num w:numId="5" w16cid:durableId="293604178">
    <w:abstractNumId w:val="1"/>
  </w:num>
  <w:num w:numId="6" w16cid:durableId="1938638894">
    <w:abstractNumId w:val="6"/>
  </w:num>
  <w:num w:numId="7" w16cid:durableId="6465944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0A6"/>
    <w:rsid w:val="0095645C"/>
    <w:rsid w:val="00BE30A6"/>
    <w:rsid w:val="00E276C2"/>
    <w:rsid w:val="00F02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9F696"/>
  <w15:chartTrackingRefBased/>
  <w15:docId w15:val="{CB4B9064-F5A8-4C58-A9DF-7065B6A25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E30A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E30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E30A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30A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E30A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E30A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E30A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E30A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E30A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E30A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E30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E30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E30A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E30A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E30A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E30A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E30A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E30A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E30A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E30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E30A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E30A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E30A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E30A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E30A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E30A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E30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E30A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E30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028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2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942</Words>
  <Characters>5376</Characters>
  <Application>Microsoft Office Word</Application>
  <DocSecurity>0</DocSecurity>
  <Lines>44</Lines>
  <Paragraphs>12</Paragraphs>
  <ScaleCrop>false</ScaleCrop>
  <Company/>
  <LinksUpToDate>false</LinksUpToDate>
  <CharactersWithSpaces>6306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Binjie Ni</dc:creator>
  <cp:keywords/>
  <dc:description/>
  <cp:lastModifiedBy>Binjie Ni</cp:lastModifiedBy>
  <cp:revision>1</cp:revision>
  <dcterms:created xsi:type="dcterms:W3CDTF">2025-06-25T06:49:00Z</dcterms:created>
  <dcterms:modified xsi:type="dcterms:W3CDTF">2025-06-25T06:50:00Z</dcterms:modified>
</cp:coreProperties>
</file>