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技术革命投资体系重构版"/>
    <w:p>
      <w:pPr>
        <w:pStyle w:val="Heading1"/>
      </w:pPr>
      <w:r>
        <w:rPr>
          <w:rFonts w:hint="eastAsia"/>
        </w:rPr>
        <w:t xml:space="preserve">技术革命投资体系（重构版）</w:t>
      </w:r>
    </w:p>
    <w:p>
      <w:pPr>
        <w:pStyle w:val="BlockText"/>
      </w:pPr>
      <w:r>
        <w:rPr>
          <w:rFonts w:hint="eastAsia"/>
        </w:rPr>
        <w:t xml:space="preserve">版本：2025-10</w:t>
      </w:r>
      <w:r>
        <w:br/>
      </w:r>
      <w:r>
        <w:rPr>
          <w:rFonts w:hint="eastAsia"/>
        </w:rPr>
        <w:t xml:space="preserve">适用对象：公私募投研团队、家办与专业投资者</w:t>
      </w:r>
      <w:r>
        <w:br/>
      </w:r>
      <w:r>
        <w:rPr>
          <w:rFonts w:hint="eastAsia"/>
        </w:rPr>
        <w:t xml:space="preserve">写作风格：结构化、可执行、可审计</w:t>
      </w:r>
      <w:r>
        <w:br/>
      </w:r>
      <w:r>
        <w:rPr>
          <w:rFonts w:hint="eastAsia"/>
        </w:rPr>
        <w:t xml:space="preserve">目标：把“好故事”改造成“真方法”，让决策可以被复盘、被约束、被升级。</w:t>
      </w:r>
    </w:p>
    <w:p>
      <w:r>
        <w:pict>
          <v:rect style="width:0;height:1.5pt" o:hralign="center" o:hrstd="t" o:hr="t"/>
        </w:pict>
      </w:r>
    </w:p>
    <w:bookmarkStart w:id="20" w:name="摘要给忙人看的-600-字"/>
    <w:p>
      <w:pPr>
        <w:pStyle w:val="Heading2"/>
      </w:pPr>
      <w:r>
        <w:rPr>
          <w:rFonts w:hint="eastAsia"/>
        </w:rPr>
        <w:t xml:space="preserve">摘要（给忙人看的</w:t>
      </w:r>
      <w:r>
        <w:t xml:space="preserve"> 600 </w:t>
      </w:r>
      <w:r>
        <w:rPr>
          <w:rFonts w:hint="eastAsia"/>
        </w:rPr>
        <w:t xml:space="preserve">字）</w:t>
      </w:r>
    </w:p>
    <w:p>
      <w:pPr>
        <w:pStyle w:val="FirstParagraph"/>
      </w:pPr>
      <w:r>
        <w:rPr>
          <w:rFonts w:hint="eastAsia"/>
        </w:rPr>
        <w:t xml:space="preserve">这是一套面向技术革命周期的投资体系，核心是</w:t>
      </w:r>
      <w:r>
        <w:t xml:space="preserve"> </w:t>
      </w:r>
      <w:r>
        <w:rPr>
          <w:rFonts w:hint="eastAsia"/>
          <w:b/>
          <w:bCs/>
        </w:rPr>
        <w:t xml:space="preserve">三轴证据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三门筛选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三哨兵前置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等回撤权组合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硬阈值风控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三轴证据矩阵（Time</w:t>
      </w:r>
      <w:r>
        <w:rPr>
          <w:b/>
          <w:bCs/>
        </w:rPr>
        <w:t xml:space="preserve"> × Volume × </w:t>
      </w:r>
      <w:r>
        <w:rPr>
          <w:rFonts w:hint="eastAsia"/>
          <w:b/>
          <w:bCs/>
        </w:rPr>
        <w:t xml:space="preserve">Ecosystem）</w:t>
      </w:r>
      <w:r>
        <w:rPr>
          <w:rFonts w:hint="eastAsia"/>
        </w:rPr>
        <w:t xml:space="preserve">：把“指数增长”拆解为时间斜率、产量学习率、生态成熟度三条可验证曲线；任一轴不达标即降级赛道优先级。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三门筛选（基本面门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风险门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价位门）</w:t>
      </w:r>
      <w:r>
        <w:rPr>
          <w:rFonts w:hint="eastAsia"/>
        </w:rPr>
        <w:t xml:space="preserve">：先判“能不能持有”，再判“能持有多少”，最后才是“在什么价位操作”。严禁跳步。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三哨兵前置（供给、合同、模型）</w:t>
      </w:r>
      <w:r>
        <w:rPr>
          <w:rFonts w:hint="eastAsia"/>
        </w:rPr>
        <w:t xml:space="preserve">：用产能/交期、预收/预付与客户结构、两季</w:t>
      </w:r>
      <w:r>
        <w:t xml:space="preserve"> EPS </w:t>
      </w:r>
      <w:r>
        <w:rPr>
          <w:rFonts w:hint="eastAsia"/>
        </w:rPr>
        <w:t xml:space="preserve">二阶导作为里程碑的可前摄替代信号，避免在“价内共识”处追高。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等回撤权组合</w:t>
      </w:r>
      <w:r>
        <w:rPr>
          <w:rFonts w:hint="eastAsia"/>
        </w:rPr>
        <w:t xml:space="preserve">：不按等权或市值权配置，而是按“回撤预算”进行权重分配；高波动标的占用更少预算，以相关性与因子暴露为约束。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硬阈值风控</w:t>
      </w:r>
      <w:r>
        <w:rPr>
          <w:rFonts w:hint="eastAsia"/>
        </w:rPr>
        <w:t xml:space="preserve">：红灯条款（利差、监管、上游寡头、标准未定）触发即降级；双阈值止损</w:t>
      </w:r>
      <w:r>
        <w:t xml:space="preserve"> + </w:t>
      </w:r>
      <w:r>
        <w:rPr>
          <w:rFonts w:hint="eastAsia"/>
        </w:rPr>
        <w:t xml:space="preserve">冷却期</w:t>
      </w:r>
      <w:r>
        <w:t xml:space="preserve"> + </w:t>
      </w:r>
      <w:r>
        <w:rPr>
          <w:rFonts w:hint="eastAsia"/>
        </w:rPr>
        <w:t xml:space="preserve">期限匹配对冲</w:t>
      </w:r>
      <w:r>
        <w:t xml:space="preserve"> + </w:t>
      </w:r>
      <w:r>
        <w:rPr>
          <w:rFonts w:hint="eastAsia"/>
        </w:rPr>
        <w:t xml:space="preserve">杠杆函数化管理。</w:t>
      </w:r>
    </w:p>
    <w:p>
      <w:pPr>
        <w:pStyle w:val="FirstParagraph"/>
      </w:pPr>
      <w:r>
        <w:rPr>
          <w:rFonts w:hint="eastAsia"/>
        </w:rPr>
        <w:t xml:space="preserve">文本给出</w:t>
      </w:r>
      <w:r>
        <w:t xml:space="preserve"> </w:t>
      </w:r>
      <w:r>
        <w:rPr>
          <w:rFonts w:hint="eastAsia"/>
          <w:b/>
          <w:bCs/>
        </w:rPr>
        <w:t xml:space="preserve">量表模板、执行脚本、回测思路、负面案例库构建法</w:t>
      </w:r>
      <w:r>
        <w:rPr>
          <w:rFonts w:hint="eastAsia"/>
        </w:rPr>
        <w:t xml:space="preserve">，以及覆盖</w:t>
      </w:r>
      <w:r>
        <w:t xml:space="preserve"> </w:t>
      </w:r>
      <w:r>
        <w:rPr>
          <w:rFonts w:hint="eastAsia"/>
        </w:rPr>
        <w:t xml:space="preserve">AI、半导体、储能、生物医药、自动化、SaaS</w:t>
      </w:r>
      <w:r>
        <w:t xml:space="preserve"> </w:t>
      </w:r>
      <w:r>
        <w:rPr>
          <w:rFonts w:hint="eastAsia"/>
        </w:rPr>
        <w:t xml:space="preserve">的行业适配示例。</w:t>
      </w:r>
    </w:p>
    <w:p>
      <w:r>
        <w:pict>
          <v:rect style="width:0;height:1.5pt" o:hralign="center" o:hrstd="t" o:hr="t"/>
        </w:pict>
      </w:r>
    </w:p>
    <w:bookmarkEnd w:id="20"/>
    <w:bookmarkStart w:id="21" w:name="使用说明"/>
    <w:p>
      <w:pPr>
        <w:pStyle w:val="Heading2"/>
      </w:pPr>
      <w:r>
        <w:rPr>
          <w:rFonts w:hint="eastAsia"/>
        </w:rPr>
        <w:t xml:space="preserve">使用说明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这是</w:t>
      </w:r>
      <w:r>
        <w:t xml:space="preserve"> </w:t>
      </w:r>
      <w:r>
        <w:rPr>
          <w:rFonts w:hint="eastAsia"/>
          <w:b/>
          <w:bCs/>
        </w:rPr>
        <w:t xml:space="preserve">方法手册</w:t>
      </w:r>
      <w:r>
        <w:rPr>
          <w:rFonts w:hint="eastAsia"/>
        </w:rPr>
        <w:t xml:space="preserve">，不是观点集。所有“建议”都被写成可验证的</w:t>
      </w:r>
      <w:r>
        <w:t xml:space="preserve"> </w:t>
      </w:r>
      <w:r>
        <w:rPr>
          <w:rFonts w:hint="eastAsia"/>
          <w:b/>
          <w:bCs/>
        </w:rPr>
        <w:t xml:space="preserve">KPI/阈值/流程</w:t>
      </w:r>
      <w:r>
        <w:t xml:space="preserve">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默认读者具备基础财务知识与因子投资常识。关键术语在附录</w:t>
      </w:r>
      <w:r>
        <w:t xml:space="preserve"> B </w:t>
      </w:r>
      <w:r>
        <w:rPr>
          <w:rFonts w:hint="eastAsia"/>
        </w:rPr>
        <w:t xml:space="preserve">给出简明解释。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本手册提供的表格与脚本可直接纳入团队的投研流程与风控系统；如需二次开发，请保持字段与定义一致，以便跨期对比与审计。</w:t>
      </w:r>
    </w:p>
    <w:p>
      <w:r>
        <w:pict>
          <v:rect style="width:0;height:1.5pt" o:hralign="center" o:hrstd="t" o:hr="t"/>
        </w:pict>
      </w:r>
    </w:p>
    <w:bookmarkEnd w:id="21"/>
    <w:bookmarkStart w:id="22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第一部分</w:t>
      </w:r>
      <w:r>
        <w:t xml:space="preserve"> </w:t>
      </w:r>
      <w:r>
        <w:rPr>
          <w:rFonts w:hint="eastAsia"/>
        </w:rPr>
        <w:t xml:space="preserve">世界观与边界：技术革命投资的适用与不适用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第二部分</w:t>
      </w:r>
      <w:r>
        <w:t xml:space="preserve"> </w:t>
      </w:r>
      <w:r>
        <w:rPr>
          <w:rFonts w:hint="eastAsia"/>
        </w:rPr>
        <w:t xml:space="preserve">指数精神拆解：三轴证据矩阵（Time×Volume×Ecosystem）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第三部分</w:t>
      </w:r>
      <w:r>
        <w:t xml:space="preserve"> </w:t>
      </w:r>
      <w:r>
        <w:rPr>
          <w:rFonts w:hint="eastAsia"/>
        </w:rPr>
        <w:t xml:space="preserve">赛道与公司评分量表（100</w:t>
      </w:r>
      <w:r>
        <w:t xml:space="preserve"> </w:t>
      </w:r>
      <w:r>
        <w:rPr>
          <w:rFonts w:hint="eastAsia"/>
        </w:rPr>
        <w:t xml:space="preserve">分）：从“能做”到“该做”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第四部分</w:t>
      </w:r>
      <w:r>
        <w:t xml:space="preserve"> </w:t>
      </w:r>
      <w:r>
        <w:rPr>
          <w:rFonts w:hint="eastAsia"/>
        </w:rPr>
        <w:t xml:space="preserve">里程碑的前置替代：三类哨兵（供给、合同、模型）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第五部分</w:t>
      </w:r>
      <w:r>
        <w:t xml:space="preserve"> </w:t>
      </w:r>
      <w:r>
        <w:rPr>
          <w:rFonts w:hint="eastAsia"/>
        </w:rPr>
        <w:t xml:space="preserve">估值与概率树：先验约束、情景权重与进入/退出带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第六部分</w:t>
      </w:r>
      <w:r>
        <w:t xml:space="preserve"> </w:t>
      </w:r>
      <w:r>
        <w:rPr>
          <w:rFonts w:hint="eastAsia"/>
        </w:rPr>
        <w:t xml:space="preserve">组合构建：核心-卫星、等回撤权、因子与相关性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第七部分</w:t>
      </w:r>
      <w:r>
        <w:t xml:space="preserve"> </w:t>
      </w:r>
      <w:r>
        <w:rPr>
          <w:rFonts w:hint="eastAsia"/>
        </w:rPr>
        <w:t xml:space="preserve">风险控制：红灯条款、双阈值止损、对冲与杠杆函数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第八部分</w:t>
      </w:r>
      <w:r>
        <w:t xml:space="preserve"> </w:t>
      </w:r>
      <w:r>
        <w:rPr>
          <w:rFonts w:hint="eastAsia"/>
        </w:rPr>
        <w:t xml:space="preserve">交易执行：价位门、脚本化“若—那么”、错单复盘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第九部分</w:t>
      </w:r>
      <w:r>
        <w:t xml:space="preserve"> </w:t>
      </w:r>
      <w:r>
        <w:rPr>
          <w:rFonts w:hint="eastAsia"/>
        </w:rPr>
        <w:t xml:space="preserve">证据体系：样本外回测、负面案例库与统计规范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第十部分</w:t>
      </w:r>
      <w:r>
        <w:t xml:space="preserve"> </w:t>
      </w:r>
      <w:r>
        <w:rPr>
          <w:rFonts w:hint="eastAsia"/>
        </w:rPr>
        <w:t xml:space="preserve">行业适配示例：六大赛道的参数化落地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第十一部分</w:t>
      </w:r>
      <w:r>
        <w:t xml:space="preserve"> </w:t>
      </w:r>
      <w:r>
        <w:rPr>
          <w:rFonts w:hint="eastAsia"/>
        </w:rPr>
        <w:t xml:space="preserve">治理与合规：数据来源、版本管理与审计轨迹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第十二部分</w:t>
      </w:r>
      <w:r>
        <w:t xml:space="preserve"> </w:t>
      </w:r>
      <w:r>
        <w:rPr>
          <w:rFonts w:hint="eastAsia"/>
        </w:rPr>
        <w:t xml:space="preserve">运营手册：周/月/季节奏、会议模板与责任矩阵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量表模板与表单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术语表与常见谬误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风控参数表与对冲配方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附录</w:t>
      </w:r>
      <w:r>
        <w:t xml:space="preserve"> D </w:t>
      </w:r>
      <w:r>
        <w:rPr>
          <w:rFonts w:hint="eastAsia"/>
        </w:rPr>
        <w:t xml:space="preserve">执行脚本与伪代码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附录</w:t>
      </w:r>
      <w:r>
        <w:t xml:space="preserve"> E </w:t>
      </w:r>
      <w:r>
        <w:rPr>
          <w:rFonts w:hint="eastAsia"/>
        </w:rPr>
        <w:t xml:space="preserve">复盘纪要样例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第一部分-世界观与边界技术革命投资的适用与不适用"/>
    <w:p>
      <w:pPr>
        <w:pStyle w:val="Heading1"/>
      </w:pPr>
      <w:r>
        <w:rPr>
          <w:rFonts w:hint="eastAsia"/>
        </w:rPr>
        <w:t xml:space="preserve">第一部分</w:t>
      </w:r>
      <w:r>
        <w:t xml:space="preserve"> </w:t>
      </w:r>
      <w:r>
        <w:rPr>
          <w:rFonts w:hint="eastAsia"/>
        </w:rPr>
        <w:t xml:space="preserve">世界观与边界：技术革命投资的适用与不适用</w:t>
      </w:r>
    </w:p>
    <w:bookmarkStart w:id="24" w:name="我们在解决什么问题"/>
    <w:p>
      <w:pPr>
        <w:pStyle w:val="Heading3"/>
      </w:pPr>
      <w:r>
        <w:t xml:space="preserve">1.1 </w:t>
      </w:r>
      <w:r>
        <w:rPr>
          <w:rFonts w:hint="eastAsia"/>
        </w:rPr>
        <w:t xml:space="preserve">我们在解决什么问题</w:t>
      </w:r>
    </w:p>
    <w:p>
      <w:pPr>
        <w:pStyle w:val="FirstParagraph"/>
      </w:pPr>
      <w:r>
        <w:rPr>
          <w:rFonts w:hint="eastAsia"/>
        </w:rPr>
        <w:t xml:space="preserve">技术革命往往伴随</w:t>
      </w:r>
      <w:r>
        <w:t xml:space="preserve"> </w:t>
      </w:r>
      <w:r>
        <w:rPr>
          <w:rFonts w:hint="eastAsia"/>
          <w:b/>
          <w:bCs/>
        </w:rPr>
        <w:t xml:space="preserve">非线性</w:t>
      </w:r>
      <w:r>
        <w:rPr>
          <w:rFonts w:hint="eastAsia"/>
        </w:rPr>
        <w:t xml:space="preserve">：性能/成本曲线以对数方式改善，需求以</w:t>
      </w:r>
      <w:r>
        <w:t xml:space="preserve"> S </w:t>
      </w:r>
      <w:r>
        <w:rPr>
          <w:rFonts w:hint="eastAsia"/>
        </w:rPr>
        <w:t xml:space="preserve">曲线渗透。传统的“静态估值</w:t>
      </w:r>
      <w:r>
        <w:t xml:space="preserve"> + </w:t>
      </w:r>
      <w:r>
        <w:rPr>
          <w:rFonts w:hint="eastAsia"/>
        </w:rPr>
        <w:t xml:space="preserve">线性增长”无法刻画此类过程。我们要做的，是在“</w:t>
      </w:r>
      <w:r>
        <w:rPr>
          <w:rFonts w:hint="eastAsia"/>
          <w:b/>
          <w:bCs/>
        </w:rPr>
        <w:t xml:space="preserve">高速变化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高不确定</w:t>
      </w:r>
      <w:r>
        <w:rPr>
          <w:rFonts w:hint="eastAsia"/>
        </w:rPr>
        <w:t xml:space="preserve">”的环境里，仍然把</w:t>
      </w:r>
      <w:r>
        <w:t xml:space="preserve"> </w:t>
      </w:r>
      <w:r>
        <w:rPr>
          <w:rFonts w:hint="eastAsia"/>
          <w:b/>
          <w:bCs/>
        </w:rPr>
        <w:t xml:space="preserve">赔率/胜率/回撤</w:t>
      </w:r>
      <w:r>
        <w:rPr>
          <w:rFonts w:hint="eastAsia"/>
        </w:rPr>
        <w:t xml:space="preserve">可控地组织起来。</w:t>
      </w:r>
    </w:p>
    <w:bookmarkEnd w:id="24"/>
    <w:bookmarkStart w:id="25" w:name="适用的环境"/>
    <w:p>
      <w:pPr>
        <w:pStyle w:val="Heading3"/>
      </w:pPr>
      <w:r>
        <w:t xml:space="preserve">1.2 </w:t>
      </w:r>
      <w:r>
        <w:rPr>
          <w:rFonts w:hint="eastAsia"/>
        </w:rPr>
        <w:t xml:space="preserve">适用的环境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技术/产品性能在</w:t>
      </w:r>
      <w:r>
        <w:t xml:space="preserve"> 12–24 </w:t>
      </w:r>
      <w:r>
        <w:rPr>
          <w:rFonts w:hint="eastAsia"/>
        </w:rPr>
        <w:t xml:space="preserve">个月内存在</w:t>
      </w:r>
      <w:r>
        <w:t xml:space="preserve"> </w:t>
      </w:r>
      <w:r>
        <w:rPr>
          <w:rFonts w:hint="eastAsia"/>
          <w:b/>
          <w:bCs/>
        </w:rPr>
        <w:t xml:space="preserve">可量化的陡峭斜率</w:t>
      </w:r>
      <w:r>
        <w:rPr>
          <w:rFonts w:hint="eastAsia"/>
        </w:rPr>
        <w:t xml:space="preserve">；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产业链具备</w:t>
      </w:r>
      <w:r>
        <w:t xml:space="preserve"> </w:t>
      </w:r>
      <w:r>
        <w:rPr>
          <w:rFonts w:hint="eastAsia"/>
          <w:b/>
          <w:bCs/>
        </w:rPr>
        <w:t xml:space="preserve">产量翻番</w:t>
      </w:r>
      <w:r>
        <w:rPr>
          <w:rFonts w:hint="eastAsia"/>
        </w:rPr>
        <w:t xml:space="preserve">的可验证记录（学习率&gt;10%）；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生态配件/标准逐步成熟，外部网络效应开始显性化。</w:t>
      </w:r>
    </w:p>
    <w:bookmarkEnd w:id="25"/>
    <w:bookmarkStart w:id="26" w:name="明确写出的不适用清单红灯前置"/>
    <w:p>
      <w:pPr>
        <w:pStyle w:val="Heading3"/>
      </w:pPr>
      <w:r>
        <w:t xml:space="preserve">1.3 </w:t>
      </w:r>
      <w:r>
        <w:rPr>
          <w:rFonts w:hint="eastAsia"/>
        </w:rPr>
        <w:t xml:space="preserve">明确写出的不适用清单（红灯前置）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利率/信用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年期与短端利差</w:t>
      </w:r>
      <w:r>
        <w:t xml:space="preserve"> &lt; –50bp </w:t>
      </w:r>
      <w:r>
        <w:rPr>
          <w:rFonts w:hint="eastAsia"/>
        </w:rPr>
        <w:t xml:space="preserve">且美元融资条件收紧；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监管/地缘</w:t>
      </w:r>
      <w:r>
        <w:rPr>
          <w:rFonts w:hint="eastAsia"/>
        </w:rPr>
        <w:t xml:space="preserve">：关键环节进入强监管二读或出口管制升级；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上游寡头</w:t>
      </w:r>
      <w:r>
        <w:rPr>
          <w:rFonts w:hint="eastAsia"/>
        </w:rPr>
        <w:t xml:space="preserve">：上游前三</w:t>
      </w:r>
      <w:r>
        <w:t xml:space="preserve"> CR3 &gt; </w:t>
      </w:r>
      <w:r>
        <w:rPr>
          <w:rFonts w:hint="eastAsia"/>
        </w:rPr>
        <w:t xml:space="preserve">70%，且扩产交期</w:t>
      </w:r>
      <w:r>
        <w:t xml:space="preserve"> &gt; 12 </w:t>
      </w:r>
      <w:r>
        <w:rPr>
          <w:rFonts w:hint="eastAsia"/>
        </w:rPr>
        <w:t xml:space="preserve">个月；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标准未定</w:t>
      </w:r>
      <w:r>
        <w:rPr>
          <w:rFonts w:hint="eastAsia"/>
        </w:rPr>
        <w:t xml:space="preserve">：核心互操作标准存两套以上且</w:t>
      </w:r>
      <w:r>
        <w:t xml:space="preserve"> 12 </w:t>
      </w:r>
      <w:r>
        <w:rPr>
          <w:rFonts w:hint="eastAsia"/>
        </w:rPr>
        <w:t xml:space="preserve">个月内无合并信号。</w:t>
      </w:r>
    </w:p>
    <w:p>
      <w:pPr>
        <w:pStyle w:val="FirstParagraph"/>
      </w:pPr>
      <w:r>
        <w:rPr>
          <w:rFonts w:hint="eastAsia"/>
        </w:rPr>
        <w:t xml:space="preserve">触发任一条，赛道优先级下降一档；触发两条及以上，暂停新增仓位。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第二部分-指数精神拆解三轴证据矩阵timevolumeecosystem"/>
    <w:p>
      <w:pPr>
        <w:pStyle w:val="Heading1"/>
      </w:pPr>
      <w:r>
        <w:rPr>
          <w:rFonts w:hint="eastAsia"/>
        </w:rPr>
        <w:t xml:space="preserve">第二部分</w:t>
      </w:r>
      <w:r>
        <w:t xml:space="preserve"> </w:t>
      </w:r>
      <w:r>
        <w:rPr>
          <w:rFonts w:hint="eastAsia"/>
        </w:rPr>
        <w:t xml:space="preserve">指数精神拆解：三轴证据矩阵（Time×Volume×Ecosystem）</w:t>
      </w:r>
    </w:p>
    <w:p>
      <w:pPr>
        <w:pStyle w:val="FirstParagraph"/>
      </w:pPr>
      <w:r>
        <w:rPr>
          <w:rFonts w:hint="eastAsia"/>
        </w:rPr>
        <w:t xml:space="preserve">“指数增长”</w:t>
      </w:r>
      <w:r>
        <w:rPr>
          <w:rFonts w:hint="eastAsia"/>
        </w:rPr>
        <w:t xml:space="preserve">不是口号，而是三条曲线：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时间轴（Time）</w:t>
      </w:r>
      <w:r>
        <w:rPr>
          <w:rFonts w:hint="eastAsia"/>
        </w:rPr>
        <w:t xml:space="preserve">：关键指标（性能/成本/能效/参数）对数斜率。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产量轴（Volume）</w:t>
      </w:r>
      <w:r>
        <w:rPr>
          <w:rFonts w:hint="eastAsia"/>
        </w:rPr>
        <w:t xml:space="preserve">：累计产量翻番时的单位成本下降，即</w:t>
      </w:r>
      <w:r>
        <w:t xml:space="preserve"> </w:t>
      </w:r>
      <w:r>
        <w:rPr>
          <w:rFonts w:hint="eastAsia"/>
          <w:b/>
          <w:bCs/>
        </w:rPr>
        <w:t xml:space="preserve">学习率</w:t>
      </w:r>
      <w:r>
        <w:rPr>
          <w:rFonts w:hint="eastAsia"/>
        </w:rPr>
        <w:t xml:space="preserve">（Learning</w:t>
      </w:r>
      <w:r>
        <w:t xml:space="preserve"> </w:t>
      </w:r>
      <w:r>
        <w:rPr>
          <w:rFonts w:hint="eastAsia"/>
        </w:rPr>
        <w:t xml:space="preserve">Rate）。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生态轴（Ecosystem）</w:t>
      </w:r>
      <w:r>
        <w:rPr>
          <w:rFonts w:hint="eastAsia"/>
        </w:rPr>
        <w:t xml:space="preserve">：开发者/渠道/标准/互补件成熟度，用“缺口张力”量化。</w:t>
      </w:r>
    </w:p>
    <w:bookmarkStart w:id="28" w:name="时间轴斜率与置信区间"/>
    <w:p>
      <w:pPr>
        <w:pStyle w:val="Heading3"/>
      </w:pPr>
      <w:r>
        <w:t xml:space="preserve">2.1 </w:t>
      </w:r>
      <w:r>
        <w:rPr>
          <w:rFonts w:hint="eastAsia"/>
        </w:rPr>
        <w:t xml:space="preserve">时间轴：斜率与置信区间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指标选择：单位算力成本、单位能耗、良率、带宽成本、测序成本等。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计算方法：对数回归，给出年化斜率与</w:t>
      </w:r>
      <w:r>
        <w:t xml:space="preserve"> 95% </w:t>
      </w:r>
      <w:r>
        <w:rPr>
          <w:rFonts w:hint="eastAsia"/>
        </w:rPr>
        <w:t xml:space="preserve">置信区间；样本至少</w:t>
      </w:r>
      <w:r>
        <w:t xml:space="preserve"> 8 </w:t>
      </w:r>
      <w:r>
        <w:rPr>
          <w:rFonts w:hint="eastAsia"/>
        </w:rPr>
        <w:t xml:space="preserve">个时间点。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判分规则：斜率显著为负（成本下降）且</w:t>
      </w:r>
      <w:r>
        <w:t xml:space="preserve"> </w:t>
      </w:r>
      <w:r>
        <w:rPr>
          <w:rFonts w:hint="eastAsia"/>
          <w:b/>
          <w:bCs/>
        </w:rPr>
        <w:t xml:space="preserve">置信区间不跨零</w:t>
      </w:r>
      <w:r>
        <w:rPr>
          <w:rFonts w:hint="eastAsia"/>
        </w:rPr>
        <w:t xml:space="preserve">，得满分；若跨零，降级。</w:t>
      </w:r>
    </w:p>
    <w:bookmarkEnd w:id="28"/>
    <w:bookmarkStart w:id="29" w:name="产量轴学习率与可再现性"/>
    <w:p>
      <w:pPr>
        <w:pStyle w:val="Heading3"/>
      </w:pPr>
      <w:r>
        <w:t xml:space="preserve">2.2 </w:t>
      </w:r>
      <w:r>
        <w:rPr>
          <w:rFonts w:hint="eastAsia"/>
        </w:rPr>
        <w:t xml:space="preserve">产量轴：学习率与可再现性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学习率定义：</w:t>
      </w:r>
      <w:r>
        <w:rPr>
          <w:rFonts w:hint="eastAsia"/>
          <w:b/>
          <w:bCs/>
        </w:rPr>
        <w:t xml:space="preserve">成本下降幅度/产量翻番次数</w:t>
      </w:r>
      <w:r>
        <w:rPr>
          <w:rFonts w:hint="eastAsia"/>
        </w:rPr>
        <w:t xml:space="preserve">。例如学习率</w:t>
      </w:r>
      <w:r>
        <w:t xml:space="preserve"> 20% </w:t>
      </w:r>
      <w:r>
        <w:rPr>
          <w:rFonts w:hint="eastAsia"/>
        </w:rPr>
        <w:t xml:space="preserve">表示产量每翻一番，成本下降</w:t>
      </w:r>
      <w:r>
        <w:t xml:space="preserve"> 20%。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多源校验：制造商财报</w:t>
      </w:r>
      <w:r>
        <w:t xml:space="preserve"> + </w:t>
      </w:r>
      <w:r>
        <w:rPr>
          <w:rFonts w:hint="eastAsia"/>
        </w:rPr>
        <w:t xml:space="preserve">供应商报价</w:t>
      </w:r>
      <w:r>
        <w:t xml:space="preserve"> + </w:t>
      </w:r>
      <w:r>
        <w:rPr>
          <w:rFonts w:hint="eastAsia"/>
        </w:rPr>
        <w:t xml:space="preserve">采购样本；至少三方数据吻合才计入。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断档识别：若连续两次翻番无法观察到成本下降，记为“学习率断档”，触发基本面警报。</w:t>
      </w:r>
    </w:p>
    <w:bookmarkEnd w:id="29"/>
    <w:bookmarkStart w:id="30" w:name="生态轴缺口张力指数gsi"/>
    <w:p>
      <w:pPr>
        <w:pStyle w:val="Heading3"/>
      </w:pPr>
      <w:r>
        <w:t xml:space="preserve">2.3 </w:t>
      </w:r>
      <w:r>
        <w:rPr>
          <w:rFonts w:hint="eastAsia"/>
        </w:rPr>
        <w:t xml:space="preserve">生态轴：缺口张力指数（GSI）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维度：标准/工具链/互补件/渠道/认证/服务网络。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评分：每项</w:t>
      </w:r>
      <w:r>
        <w:t xml:space="preserve"> 0–5 </w:t>
      </w:r>
      <w:r>
        <w:rPr>
          <w:rFonts w:hint="eastAsia"/>
        </w:rPr>
        <w:t xml:space="preserve">分，权重按行业定制；定义“缺口张力”=</w:t>
      </w:r>
      <w:r>
        <w:t xml:space="preserve"> </w:t>
      </w:r>
      <w:r>
        <w:rPr>
          <w:rFonts w:hint="eastAsia"/>
        </w:rPr>
        <w:t xml:space="preserve">需求侧对缺件的抱怨强度</w:t>
      </w:r>
      <w:r>
        <w:t xml:space="preserve"> × </w:t>
      </w:r>
      <w:r>
        <w:rPr>
          <w:rFonts w:hint="eastAsia"/>
        </w:rPr>
        <w:t xml:space="preserve">时间长度。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触发：GSI</w:t>
      </w:r>
      <w:r>
        <w:t xml:space="preserve"> </w:t>
      </w:r>
      <w:r>
        <w:rPr>
          <w:rFonts w:hint="eastAsia"/>
        </w:rPr>
        <w:t xml:space="preserve">连续</w:t>
      </w:r>
      <w:r>
        <w:t xml:space="preserve"> 2 </w:t>
      </w:r>
      <w:r>
        <w:rPr>
          <w:rFonts w:hint="eastAsia"/>
        </w:rPr>
        <w:t xml:space="preserve">个季度显著下降（缺口缓解）+</w:t>
      </w:r>
      <w:r>
        <w:t xml:space="preserve"> </w:t>
      </w:r>
      <w:r>
        <w:rPr>
          <w:rFonts w:hint="eastAsia"/>
        </w:rPr>
        <w:t xml:space="preserve">价格回落，视为“供需转折前兆”。</w:t>
      </w:r>
    </w:p>
    <w:bookmarkEnd w:id="30"/>
    <w:bookmarkStart w:id="31" w:name="三轴合成与门槛"/>
    <w:p>
      <w:pPr>
        <w:pStyle w:val="Heading3"/>
      </w:pPr>
      <w:r>
        <w:t xml:space="preserve">2.4 </w:t>
      </w:r>
      <w:r>
        <w:rPr>
          <w:rFonts w:hint="eastAsia"/>
        </w:rPr>
        <w:t xml:space="preserve">三轴合成与门槛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赛道分</w:t>
      </w:r>
      <w:r>
        <w:t xml:space="preserve"> = </w:t>
      </w:r>
      <w:r>
        <w:rPr>
          <w:rFonts w:hint="eastAsia"/>
        </w:rPr>
        <w:t xml:space="preserve">时间</w:t>
      </w:r>
      <w:r>
        <w:t xml:space="preserve"> 15 + </w:t>
      </w:r>
      <w:r>
        <w:rPr>
          <w:rFonts w:hint="eastAsia"/>
        </w:rPr>
        <w:t xml:space="preserve">学习率</w:t>
      </w:r>
      <w:r>
        <w:t xml:space="preserve"> 15 + </w:t>
      </w:r>
      <w:r>
        <w:rPr>
          <w:rFonts w:hint="eastAsia"/>
        </w:rPr>
        <w:t xml:space="preserve">生态</w:t>
      </w:r>
      <w:r>
        <w:t xml:space="preserve"> 15 + </w:t>
      </w:r>
      <w:r>
        <w:rPr>
          <w:rFonts w:hint="eastAsia"/>
        </w:rPr>
        <w:t xml:space="preserve">供给弹性</w:t>
      </w:r>
      <w:r>
        <w:t xml:space="preserve"> </w:t>
      </w:r>
      <w:r>
        <w:rPr>
          <w:rFonts w:hint="eastAsia"/>
        </w:rPr>
        <w:t xml:space="preserve">15（见</w:t>
      </w:r>
      <w:r>
        <w:t xml:space="preserve"> </w:t>
      </w:r>
      <w:r>
        <w:rPr>
          <w:rFonts w:hint="eastAsia"/>
        </w:rPr>
        <w:t xml:space="preserve">3.1），满分</w:t>
      </w:r>
      <w:r>
        <w:t xml:space="preserve"> 60。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任一轴评分</w:t>
      </w:r>
      <w:r>
        <w:t xml:space="preserve"> &lt; </w:t>
      </w:r>
      <w:r>
        <w:rPr>
          <w:rFonts w:hint="eastAsia"/>
        </w:rPr>
        <w:t xml:space="preserve">一半，则赛道整体降级；连续两个季度不达标，移出核心池。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第三部分-赛道与公司评分量表100-分从能做到该做"/>
    <w:p>
      <w:pPr>
        <w:pStyle w:val="Heading1"/>
      </w:pPr>
      <w:r>
        <w:rPr>
          <w:rFonts w:hint="eastAsia"/>
        </w:rPr>
        <w:t xml:space="preserve">第三部分</w:t>
      </w:r>
      <w:r>
        <w:t xml:space="preserve"> </w:t>
      </w:r>
      <w:r>
        <w:rPr>
          <w:rFonts w:hint="eastAsia"/>
        </w:rPr>
        <w:t xml:space="preserve">赛道与公司评分量表（100</w:t>
      </w:r>
      <w:r>
        <w:t xml:space="preserve"> </w:t>
      </w:r>
      <w:r>
        <w:rPr>
          <w:rFonts w:hint="eastAsia"/>
        </w:rPr>
        <w:t xml:space="preserve">分）：从“能做”到“该做”</w:t>
      </w:r>
    </w:p>
    <w:bookmarkStart w:id="33" w:name="赛道层60-分"/>
    <w:p>
      <w:pPr>
        <w:pStyle w:val="Heading3"/>
      </w:pPr>
      <w:r>
        <w:t xml:space="preserve">3.1 </w:t>
      </w:r>
      <w:r>
        <w:rPr>
          <w:rFonts w:hint="eastAsia"/>
        </w:rPr>
        <w:t xml:space="preserve">赛道层（60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时间指数（15）</w:t>
      </w:r>
      <w:r>
        <w:rPr>
          <w:rFonts w:hint="eastAsia"/>
        </w:rPr>
        <w:t xml:space="preserve">：近</w:t>
      </w:r>
      <w:r>
        <w:t xml:space="preserve"> 24 </w:t>
      </w:r>
      <w:r>
        <w:rPr>
          <w:rFonts w:hint="eastAsia"/>
        </w:rPr>
        <w:t xml:space="preserve">个月对数斜率与置信区间。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学习率（15）</w:t>
      </w:r>
      <w:r>
        <w:rPr>
          <w:rFonts w:hint="eastAsia"/>
        </w:rPr>
        <w:t xml:space="preserve">：过去两次翻番的真实单位成本变化，多源校验。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生态成熟度（15）</w:t>
      </w:r>
      <w:r>
        <w:rPr>
          <w:rFonts w:hint="eastAsia"/>
        </w:rPr>
        <w:t xml:space="preserve">：标准化、互补件可得性、开发者活跃度。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供给弹性（15）</w:t>
      </w:r>
      <w:r>
        <w:rPr>
          <w:rFonts w:hint="eastAsia"/>
        </w:rPr>
        <w:t xml:space="preserve">：上游集中度、扩产交期、资本开支回报。</w:t>
      </w:r>
    </w:p>
    <w:p>
      <w:pPr>
        <w:pStyle w:val="FirstParagraph"/>
      </w:pPr>
      <w:r>
        <w:t xml:space="preserve">≥ 45 </w:t>
      </w:r>
      <w:r>
        <w:rPr>
          <w:rFonts w:hint="eastAsia"/>
        </w:rPr>
        <w:t xml:space="preserve">分列为“可投赛道”；≥</w:t>
      </w:r>
      <w:r>
        <w:t xml:space="preserve"> 50 </w:t>
      </w:r>
      <w:r>
        <w:rPr>
          <w:rFonts w:hint="eastAsia"/>
        </w:rPr>
        <w:t xml:space="preserve">分进入“核心赛道”。</w:t>
      </w:r>
    </w:p>
    <w:bookmarkEnd w:id="33"/>
    <w:bookmarkStart w:id="34" w:name="公司层40-分"/>
    <w:p>
      <w:pPr>
        <w:pStyle w:val="Heading3"/>
      </w:pPr>
      <w:r>
        <w:t xml:space="preserve">3.2 </w:t>
      </w:r>
      <w:r>
        <w:rPr>
          <w:rFonts w:hint="eastAsia"/>
        </w:rPr>
        <w:t xml:space="preserve">公司层（40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控制点（12）</w:t>
      </w:r>
      <w:r>
        <w:rPr>
          <w:rFonts w:hint="eastAsia"/>
        </w:rPr>
        <w:t xml:space="preserve">：标准/数据/工具链/牌照四类可收入化控制点。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合同与现金（12）</w:t>
      </w:r>
      <w:r>
        <w:rPr>
          <w:rFonts w:hint="eastAsia"/>
        </w:rPr>
        <w:t xml:space="preserve">：预收/预付、客户集中度、排产与交期。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ROIC–WACC（8）</w:t>
      </w:r>
      <w:r>
        <w:rPr>
          <w:rFonts w:hint="eastAsia"/>
        </w:rPr>
        <w:t xml:space="preserve">：三年滚动正差与稳定性。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执行半径（8）</w:t>
      </w:r>
      <w:r>
        <w:rPr>
          <w:rFonts w:hint="eastAsia"/>
        </w:rPr>
        <w:t xml:space="preserve">：跨区域本地化能力与风控记录。</w:t>
      </w:r>
    </w:p>
    <w:p>
      <w:pPr>
        <w:pStyle w:val="FirstParagraph"/>
      </w:pPr>
      <w:r>
        <w:t xml:space="preserve">≥ 30 </w:t>
      </w:r>
      <w:r>
        <w:rPr>
          <w:rFonts w:hint="eastAsia"/>
        </w:rPr>
        <w:t xml:space="preserve">分入候选；≥</w:t>
      </w:r>
      <w:r>
        <w:t xml:space="preserve"> 34 </w:t>
      </w:r>
      <w:r>
        <w:rPr>
          <w:rFonts w:hint="eastAsia"/>
        </w:rPr>
        <w:t xml:space="preserve">分入核心；&lt;</w:t>
      </w:r>
      <w:r>
        <w:t xml:space="preserve"> 26 </w:t>
      </w:r>
      <w:r>
        <w:rPr>
          <w:rFonts w:hint="eastAsia"/>
        </w:rPr>
        <w:t xml:space="preserve">分仅跟踪。</w:t>
      </w:r>
    </w:p>
    <w:bookmarkEnd w:id="34"/>
    <w:bookmarkStart w:id="35" w:name="评分操作细则"/>
    <w:p>
      <w:pPr>
        <w:pStyle w:val="Heading3"/>
      </w:pPr>
      <w:r>
        <w:t xml:space="preserve">3.3 </w:t>
      </w:r>
      <w:r>
        <w:rPr>
          <w:rFonts w:hint="eastAsia"/>
        </w:rPr>
        <w:t xml:space="preserve">评分操作细则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所有分数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有证据链接（财报页码、公告编号、采样表）；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量表由投研与风控双签；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评分变动&gt;3</w:t>
      </w:r>
      <w:r>
        <w:t xml:space="preserve"> </w:t>
      </w:r>
      <w:r>
        <w:rPr>
          <w:rFonts w:hint="eastAsia"/>
        </w:rPr>
        <w:t xml:space="preserve">分，需在周会上说明逻辑与证据。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第四部分-里程碑的前置替代三类哨兵供给合同模型"/>
    <w:p>
      <w:pPr>
        <w:pStyle w:val="Heading1"/>
      </w:pPr>
      <w:r>
        <w:rPr>
          <w:rFonts w:hint="eastAsia"/>
        </w:rPr>
        <w:t xml:space="preserve">第四部分</w:t>
      </w:r>
      <w:r>
        <w:t xml:space="preserve"> </w:t>
      </w:r>
      <w:r>
        <w:rPr>
          <w:rFonts w:hint="eastAsia"/>
        </w:rPr>
        <w:t xml:space="preserve">里程碑的前置替代：三类哨兵（供给、合同、模型）</w:t>
      </w:r>
    </w:p>
    <w:p>
      <w:pPr>
        <w:pStyle w:val="FirstParagraph"/>
      </w:pPr>
      <w:r>
        <w:rPr>
          <w:rFonts w:hint="eastAsia"/>
        </w:rPr>
        <w:t xml:space="preserve">传统的“技术验证/量产/业绩超预期”往往已价内。我们改用三类</w:t>
      </w:r>
      <w:r>
        <w:rPr>
          <w:rFonts w:hint="eastAsia"/>
          <w:b/>
          <w:bCs/>
        </w:rPr>
        <w:t xml:space="preserve">前摄哨兵</w:t>
      </w:r>
      <w:r>
        <w:rPr>
          <w:rFonts w:hint="eastAsia"/>
        </w:rPr>
        <w:t xml:space="preserve">：</w:t>
      </w:r>
    </w:p>
    <w:bookmarkStart w:id="37" w:name="供给先行"/>
    <w:p>
      <w:pPr>
        <w:pStyle w:val="Heading3"/>
      </w:pPr>
      <w:r>
        <w:t xml:space="preserve">4.1 </w:t>
      </w:r>
      <w:r>
        <w:rPr>
          <w:rFonts w:hint="eastAsia"/>
        </w:rPr>
        <w:t xml:space="preserve">供给先行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观察项：关键部件报价自高位回落&gt;15%，交期缩短；良率曲线按周跟踪。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数据源：供应商报价、采购系统、第三方渠道调研。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触发：供给哨兵满足，则</w:t>
      </w:r>
      <w:r>
        <w:rPr>
          <w:rFonts w:hint="eastAsia"/>
          <w:b/>
          <w:bCs/>
        </w:rPr>
        <w:t xml:space="preserve">打开</w:t>
      </w:r>
      <w:r>
        <w:rPr>
          <w:rFonts w:hint="eastAsia"/>
        </w:rPr>
        <w:t xml:space="preserve">估值进入带的上沿</w:t>
      </w:r>
      <w:r>
        <w:t xml:space="preserve"> 10%。</w:t>
      </w:r>
    </w:p>
    <w:bookmarkEnd w:id="37"/>
    <w:bookmarkStart w:id="38" w:name="合同先行"/>
    <w:p>
      <w:pPr>
        <w:pStyle w:val="Heading3"/>
      </w:pPr>
      <w:r>
        <w:t xml:space="preserve">4.2 </w:t>
      </w:r>
      <w:r>
        <w:rPr>
          <w:rFonts w:hint="eastAsia"/>
        </w:rPr>
        <w:t xml:space="preserve">合同先行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观察项：预收/预付占比连续两季上行≥2pp；客户集中度合理下降。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触发：合同哨兵满足，则进入带</w:t>
      </w:r>
      <w:r>
        <w:rPr>
          <w:rFonts w:hint="eastAsia"/>
          <w:b/>
          <w:bCs/>
        </w:rPr>
        <w:t xml:space="preserve">下沿</w:t>
      </w:r>
      <w:r>
        <w:rPr>
          <w:rFonts w:hint="eastAsia"/>
        </w:rPr>
        <w:t xml:space="preserve">上移</w:t>
      </w:r>
      <w:r>
        <w:t xml:space="preserve"> 5–10%。</w:t>
      </w:r>
    </w:p>
    <w:bookmarkEnd w:id="38"/>
    <w:bookmarkStart w:id="39" w:name="模型先行"/>
    <w:p>
      <w:pPr>
        <w:pStyle w:val="Heading3"/>
      </w:pPr>
      <w:r>
        <w:t xml:space="preserve">4.3 </w:t>
      </w:r>
      <w:r>
        <w:rPr>
          <w:rFonts w:hint="eastAsia"/>
        </w:rPr>
        <w:t xml:space="preserve">模型先行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观察项：一致预期未来两季</w:t>
      </w:r>
      <w:r>
        <w:t xml:space="preserve"> EPS</w:t>
      </w:r>
      <w:r>
        <w:t xml:space="preserve"> </w:t>
      </w:r>
      <w:r>
        <w:rPr>
          <w:rFonts w:hint="eastAsia"/>
          <w:b/>
          <w:bCs/>
        </w:rPr>
        <w:t xml:space="preserve">二阶导&gt;0</w:t>
      </w:r>
      <w:r>
        <w:rPr>
          <w:rFonts w:hint="eastAsia"/>
        </w:rPr>
        <w:t xml:space="preserve">，且分析师分歧（标准差）收敛。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触发：模型哨兵满足，则加速建仓节奏（但仍受风险门约束）。</w:t>
      </w:r>
    </w:p>
    <w:bookmarkEnd w:id="39"/>
    <w:bookmarkStart w:id="40" w:name="哨兵合成"/>
    <w:p>
      <w:pPr>
        <w:pStyle w:val="Heading3"/>
      </w:pPr>
      <w:r>
        <w:t xml:space="preserve">4.4 </w:t>
      </w:r>
      <w:r>
        <w:rPr>
          <w:rFonts w:hint="eastAsia"/>
        </w:rPr>
        <w:t xml:space="preserve">哨兵合成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满足其二即可进入建仓窗口；三者全满足可进入加仓窗口。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任何一类哨兵连续失灵两个季度，触发</w:t>
      </w:r>
      <w:r>
        <w:rPr>
          <w:rFonts w:hint="eastAsia"/>
          <w:b/>
          <w:bCs/>
        </w:rPr>
        <w:t xml:space="preserve">基本面止损半仓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第五部分-估值与概率树先验约束情景权重与进入退出带"/>
    <w:p>
      <w:pPr>
        <w:pStyle w:val="Heading1"/>
      </w:pPr>
      <w:r>
        <w:rPr>
          <w:rFonts w:hint="eastAsia"/>
        </w:rPr>
        <w:t xml:space="preserve">第五部分</w:t>
      </w:r>
      <w:r>
        <w:t xml:space="preserve"> </w:t>
      </w:r>
      <w:r>
        <w:rPr>
          <w:rFonts w:hint="eastAsia"/>
        </w:rPr>
        <w:t xml:space="preserve">估值与概率树：先验约束、情景权重与进入/退出带</w:t>
      </w:r>
    </w:p>
    <w:bookmarkStart w:id="42" w:name="先验与基准"/>
    <w:p>
      <w:pPr>
        <w:pStyle w:val="Heading3"/>
      </w:pPr>
      <w:r>
        <w:t xml:space="preserve">5.1 </w:t>
      </w:r>
      <w:r>
        <w:rPr>
          <w:rFonts w:hint="eastAsia"/>
        </w:rPr>
        <w:t xml:space="preserve">先验与基准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先验来自同类公司在渗透率</w:t>
      </w:r>
      <w:r>
        <w:t xml:space="preserve"> 10%→50% </w:t>
      </w:r>
      <w:r>
        <w:rPr>
          <w:rFonts w:hint="eastAsia"/>
        </w:rPr>
        <w:t xml:space="preserve">阶段的</w:t>
      </w:r>
      <w:r>
        <w:t xml:space="preserve"> </w:t>
      </w:r>
      <w:r>
        <w:rPr>
          <w:rFonts w:hint="eastAsia"/>
          <w:b/>
          <w:bCs/>
        </w:rPr>
        <w:t xml:space="preserve">毛利/ROIC/周转</w:t>
      </w:r>
      <w:r>
        <w:rPr>
          <w:rFonts w:hint="eastAsia"/>
        </w:rPr>
        <w:t xml:space="preserve">中位轨迹；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情景构建（乐观/中性/悲观）必须以先验为</w:t>
      </w:r>
      <w:r>
        <w:rPr>
          <w:rFonts w:hint="eastAsia"/>
          <w:b/>
          <w:bCs/>
        </w:rPr>
        <w:t xml:space="preserve">硬约束</w:t>
      </w:r>
      <w:r>
        <w:t xml:space="preserve">。</w:t>
      </w:r>
    </w:p>
    <w:bookmarkEnd w:id="42"/>
    <w:bookmarkStart w:id="43" w:name="概率加权"/>
    <w:p>
      <w:pPr>
        <w:pStyle w:val="Heading3"/>
      </w:pPr>
      <w:r>
        <w:t xml:space="preserve">5.2 </w:t>
      </w:r>
      <w:r>
        <w:rPr>
          <w:rFonts w:hint="eastAsia"/>
        </w:rPr>
        <w:t xml:space="preserve">概率加权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权重上限：乐观情景权重≤</w:t>
      </w:r>
      <w:r>
        <w:t xml:space="preserve"> </w:t>
      </w:r>
      <w:r>
        <w:rPr>
          <w:rFonts w:hint="eastAsia"/>
        </w:rPr>
        <w:t xml:space="preserve">0.4，除非出现“控制点显著强化</w:t>
      </w:r>
      <w:r>
        <w:t xml:space="preserve"> + </w:t>
      </w:r>
      <w:r>
        <w:rPr>
          <w:rFonts w:hint="eastAsia"/>
        </w:rPr>
        <w:t xml:space="preserve">三哨兵全亮”组合。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输出区间：给出分位估值（p25/p50/p75）与进入/退出区间。</w:t>
      </w:r>
    </w:p>
    <w:bookmarkEnd w:id="43"/>
    <w:bookmarkStart w:id="44" w:name="进入退出带与组合联动"/>
    <w:p>
      <w:pPr>
        <w:pStyle w:val="Heading3"/>
      </w:pPr>
      <w:r>
        <w:t xml:space="preserve">5.3 </w:t>
      </w:r>
      <w:r>
        <w:rPr>
          <w:rFonts w:hint="eastAsia"/>
        </w:rPr>
        <w:t xml:space="preserve">进入/退出带与组合联动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进入带</w:t>
      </w:r>
      <w:r>
        <w:t xml:space="preserve"> = p50 × </w:t>
      </w:r>
      <w:r>
        <w:rPr>
          <w:rFonts w:hint="eastAsia"/>
        </w:rPr>
        <w:t xml:space="preserve">0.70–0.85；退出带</w:t>
      </w:r>
      <w:r>
        <w:t xml:space="preserve"> = p75 × 0.90 </w:t>
      </w:r>
      <w:r>
        <w:rPr>
          <w:rFonts w:hint="eastAsia"/>
        </w:rPr>
        <w:t xml:space="preserve">或触发组合回撤约束。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当组合回撤&gt;年度预算×0.7，自动对处于上沿的持仓</w:t>
      </w:r>
      <w:r>
        <w:t xml:space="preserve"> </w:t>
      </w:r>
      <w:r>
        <w:rPr>
          <w:rFonts w:hint="eastAsia"/>
          <w:b/>
          <w:bCs/>
        </w:rPr>
        <w:t xml:space="preserve">强制减仓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第六部分-组合构建核心-卫星等回撤权因子与相关性"/>
    <w:p>
      <w:pPr>
        <w:pStyle w:val="Heading1"/>
      </w:pPr>
      <w:r>
        <w:rPr>
          <w:rFonts w:hint="eastAsia"/>
        </w:rPr>
        <w:t xml:space="preserve">第六部分</w:t>
      </w:r>
      <w:r>
        <w:t xml:space="preserve"> </w:t>
      </w:r>
      <w:r>
        <w:rPr>
          <w:rFonts w:hint="eastAsia"/>
        </w:rPr>
        <w:t xml:space="preserve">组合构建：核心-卫星、等回撤权、因子与相关性</w:t>
      </w:r>
    </w:p>
    <w:bookmarkStart w:id="46" w:name="核心-卫星的再定义"/>
    <w:p>
      <w:pPr>
        <w:pStyle w:val="Heading3"/>
      </w:pPr>
      <w:r>
        <w:t xml:space="preserve">6.1 </w:t>
      </w:r>
      <w:r>
        <w:rPr>
          <w:rFonts w:hint="eastAsia"/>
        </w:rPr>
        <w:t xml:space="preserve">核心-卫星的再定义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核心：赛道≥50、公司≥34、三哨兵中至少两项有效；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卫星：赛道≥45、公司≥30，且尚未满足三哨兵合成条件。</w:t>
      </w:r>
    </w:p>
    <w:bookmarkEnd w:id="46"/>
    <w:bookmarkStart w:id="47" w:name="等回撤权equal-drawdown-risk"/>
    <w:p>
      <w:pPr>
        <w:pStyle w:val="Heading3"/>
      </w:pPr>
      <w:r>
        <w:t xml:space="preserve">6.2 </w:t>
      </w:r>
      <w:r>
        <w:rPr>
          <w:rFonts w:hint="eastAsia"/>
        </w:rPr>
        <w:t xml:space="preserve">等回撤权（Equal</w:t>
      </w:r>
      <w:r>
        <w:t xml:space="preserve"> Drawdown </w:t>
      </w:r>
      <w:r>
        <w:rPr>
          <w:rFonts w:hint="eastAsia"/>
        </w:rPr>
        <w:t xml:space="preserve">Risk）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定义：以目标最大回撤为预算，按单票预估回撤分配权重。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实施：高波动标的占用更少预算，权重非线性递减。</w:t>
      </w:r>
    </w:p>
    <w:bookmarkEnd w:id="47"/>
    <w:bookmarkStart w:id="48" w:name="因子与相关性约束"/>
    <w:p>
      <w:pPr>
        <w:pStyle w:val="Heading3"/>
      </w:pPr>
      <w:r>
        <w:t xml:space="preserve">6.3 </w:t>
      </w:r>
      <w:r>
        <w:rPr>
          <w:rFonts w:hint="eastAsia"/>
        </w:rPr>
        <w:t xml:space="preserve">因子与相关性约束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因子：Beta、规模、价值、动量、质量、波动率、行业哑变量。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组合净暴露应处在策略书所定区间；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相关性热力图：相关系数&gt;0.8</w:t>
      </w:r>
      <w:r>
        <w:t xml:space="preserve"> </w:t>
      </w:r>
      <w:r>
        <w:rPr>
          <w:rFonts w:hint="eastAsia"/>
        </w:rPr>
        <w:t xml:space="preserve">的持仓，若催化同源，二选一。</w:t>
      </w:r>
    </w:p>
    <w:bookmarkEnd w:id="48"/>
    <w:bookmarkStart w:id="49" w:name="再平衡"/>
    <w:p>
      <w:pPr>
        <w:pStyle w:val="Heading3"/>
      </w:pPr>
      <w:r>
        <w:t xml:space="preserve">6.4 </w:t>
      </w:r>
      <w:r>
        <w:rPr>
          <w:rFonts w:hint="eastAsia"/>
        </w:rPr>
        <w:t xml:space="preserve">再平衡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周度轻平衡：修正至等回撤权目标；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月度重平衡：结合估值区间与哨兵状态；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事件触发：红灯条款/哨兵失灵/回撤越界。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第七部分-风险控制红灯条款双阈值止损对冲与杠杆函数"/>
    <w:p>
      <w:pPr>
        <w:pStyle w:val="Heading1"/>
      </w:pPr>
      <w:r>
        <w:rPr>
          <w:rFonts w:hint="eastAsia"/>
        </w:rPr>
        <w:t xml:space="preserve">第七部分</w:t>
      </w:r>
      <w:r>
        <w:t xml:space="preserve"> </w:t>
      </w:r>
      <w:r>
        <w:rPr>
          <w:rFonts w:hint="eastAsia"/>
        </w:rPr>
        <w:t xml:space="preserve">风险控制：红灯条款、双阈值止损、对冲与杠杆函数</w:t>
      </w:r>
    </w:p>
    <w:bookmarkStart w:id="51" w:name="红灯条款硬阈值"/>
    <w:p>
      <w:pPr>
        <w:pStyle w:val="Heading3"/>
      </w:pPr>
      <w:r>
        <w:t xml:space="preserve">7.1 </w:t>
      </w:r>
      <w:r>
        <w:rPr>
          <w:rFonts w:hint="eastAsia"/>
        </w:rPr>
        <w:t xml:space="preserve">红灯条款（硬阈值）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利差与信用、监管二读、上游寡头、标准未定——任一触发，降级；二者触发，暂停新增。</w:t>
      </w:r>
    </w:p>
    <w:bookmarkEnd w:id="51"/>
    <w:bookmarkStart w:id="52" w:name="双阈值止损-冷却期"/>
    <w:p>
      <w:pPr>
        <w:pStyle w:val="Heading3"/>
      </w:pPr>
      <w:r>
        <w:t xml:space="preserve">7.2 </w:t>
      </w:r>
      <w:r>
        <w:rPr>
          <w:rFonts w:hint="eastAsia"/>
        </w:rPr>
        <w:t xml:space="preserve">双阈值止损</w:t>
      </w:r>
      <w:r>
        <w:t xml:space="preserve"> + </w:t>
      </w:r>
      <w:r>
        <w:rPr>
          <w:rFonts w:hint="eastAsia"/>
        </w:rPr>
        <w:t xml:space="preserve">冷却期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价格止损（百分比或技术位）+</w:t>
      </w:r>
      <w:r>
        <w:t xml:space="preserve"> </w:t>
      </w:r>
      <w:r>
        <w:rPr>
          <w:rFonts w:hint="eastAsia"/>
        </w:rPr>
        <w:t xml:space="preserve">基本面止损（任意两类哨兵失灵）；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触发一项减半，双触发清仓；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冷却期：止损后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个交易日</w:t>
      </w:r>
      <w:r>
        <w:rPr>
          <w:rFonts w:hint="eastAsia"/>
        </w:rPr>
        <w:t xml:space="preserve">内不得回补；回补需“估值更低</w:t>
      </w:r>
      <w:r>
        <w:t xml:space="preserve"> + </w:t>
      </w:r>
      <w:r>
        <w:rPr>
          <w:rFonts w:hint="eastAsia"/>
        </w:rPr>
        <w:t xml:space="preserve">二阶导转正”。</w:t>
      </w:r>
    </w:p>
    <w:bookmarkEnd w:id="52"/>
    <w:bookmarkStart w:id="53" w:name="对冲期限与名义匹配"/>
    <w:p>
      <w:pPr>
        <w:pStyle w:val="Heading3"/>
      </w:pPr>
      <w:r>
        <w:t xml:space="preserve">7.3 </w:t>
      </w:r>
      <w:r>
        <w:rPr>
          <w:rFonts w:hint="eastAsia"/>
        </w:rPr>
        <w:t xml:space="preserve">对冲：期限与名义匹配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系统性用股指/跨期期货，行业性用行业</w:t>
      </w:r>
      <w:r>
        <w:t xml:space="preserve"> ETF </w:t>
      </w:r>
      <w:r>
        <w:rPr>
          <w:rFonts w:hint="eastAsia"/>
        </w:rPr>
        <w:t xml:space="preserve">期权，个股性用个股期权；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覆盖比率由“组合回撤目标—实时回撤—因子暴露”三者联立决定。</w:t>
      </w:r>
    </w:p>
    <w:bookmarkEnd w:id="53"/>
    <w:bookmarkStart w:id="54" w:name="杠杆函数"/>
    <w:p>
      <w:pPr>
        <w:pStyle w:val="Heading3"/>
      </w:pPr>
      <w:r>
        <w:t xml:space="preserve">7.4 </w:t>
      </w:r>
      <w:r>
        <w:rPr>
          <w:rFonts w:hint="eastAsia"/>
        </w:rPr>
        <w:t xml:space="preserve">杠杆函数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杠杆上限</w:t>
      </w:r>
      <w:r>
        <w:t xml:space="preserve"> = </w:t>
      </w:r>
      <w:r>
        <w:rPr>
          <w:rFonts w:hint="eastAsia"/>
        </w:rPr>
        <w:t xml:space="preserve">f（组合平均成交额、冲击成本、目标回撤、在险价值）；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流动性收紧时，杠杆与净多头自动下降。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第八部分-交易执行价位门脚本化若那么错单复盘"/>
    <w:p>
      <w:pPr>
        <w:pStyle w:val="Heading1"/>
      </w:pPr>
      <w:r>
        <w:rPr>
          <w:rFonts w:hint="eastAsia"/>
        </w:rPr>
        <w:t xml:space="preserve">第八部分</w:t>
      </w:r>
      <w:r>
        <w:t xml:space="preserve"> </w:t>
      </w:r>
      <w:r>
        <w:rPr>
          <w:rFonts w:hint="eastAsia"/>
        </w:rPr>
        <w:t xml:space="preserve">交易执行：价位门、脚本化“若—那么”、错单复盘</w:t>
      </w:r>
    </w:p>
    <w:bookmarkStart w:id="56" w:name="价位门"/>
    <w:p>
      <w:pPr>
        <w:pStyle w:val="Heading3"/>
      </w:pPr>
      <w:r>
        <w:t xml:space="preserve">8.1 </w:t>
      </w:r>
      <w:r>
        <w:rPr>
          <w:rFonts w:hint="eastAsia"/>
        </w:rPr>
        <w:t xml:space="preserve">价位门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不在进入带内不下单；不在退出带内不大幅减仓；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回撤约束优先于价位：先风控，后估值。</w:t>
      </w:r>
    </w:p>
    <w:bookmarkEnd w:id="56"/>
    <w:bookmarkStart w:id="57" w:name="执行脚本"/>
    <w:p>
      <w:pPr>
        <w:pStyle w:val="Heading3"/>
      </w:pPr>
      <w:r>
        <w:t xml:space="preserve">8.2 </w:t>
      </w:r>
      <w:r>
        <w:rPr>
          <w:rFonts w:hint="eastAsia"/>
        </w:rPr>
        <w:t xml:space="preserve">执行脚本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结构：</w:t>
      </w:r>
      <w:r>
        <w:rPr>
          <w:rFonts w:hint="eastAsia"/>
          <w:b/>
          <w:bCs/>
        </w:rPr>
        <w:t xml:space="preserve">若（触发条件）—那么（仓位动作）—证据（数据指向）—时限（失效时间）</w:t>
      </w:r>
      <w:r>
        <w:rPr>
          <w:rFonts w:hint="eastAsia"/>
        </w:rPr>
        <w:t xml:space="preserve">；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所有订单需附带脚本文本，入库以备审计。</w:t>
      </w:r>
    </w:p>
    <w:bookmarkEnd w:id="57"/>
    <w:bookmarkStart w:id="58" w:name="错单复盘"/>
    <w:p>
      <w:pPr>
        <w:pStyle w:val="Heading3"/>
      </w:pPr>
      <w:r>
        <w:t xml:space="preserve">8.3 </w:t>
      </w:r>
      <w:r>
        <w:rPr>
          <w:rFonts w:hint="eastAsia"/>
        </w:rPr>
        <w:t xml:space="preserve">错单复盘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五问：信息错/模型错/执行错/风控错/运气项；</w:t>
      </w:r>
      <w:r>
        <w:br/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将“运气项”拆开到可控维度，更新脚本与阈值。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第九部分-证据体系样本外回测负面案例库与统计规范"/>
    <w:p>
      <w:pPr>
        <w:pStyle w:val="Heading1"/>
      </w:pPr>
      <w:r>
        <w:rPr>
          <w:rFonts w:hint="eastAsia"/>
        </w:rPr>
        <w:t xml:space="preserve">第九部分</w:t>
      </w:r>
      <w:r>
        <w:t xml:space="preserve"> </w:t>
      </w:r>
      <w:r>
        <w:rPr>
          <w:rFonts w:hint="eastAsia"/>
        </w:rPr>
        <w:t xml:space="preserve">证据体系：样本外回测、负面案例库与统计规范</w:t>
      </w:r>
    </w:p>
    <w:bookmarkStart w:id="60" w:name="样本外回测"/>
    <w:p>
      <w:pPr>
        <w:pStyle w:val="Heading3"/>
      </w:pPr>
      <w:r>
        <w:t xml:space="preserve">9.1 </w:t>
      </w:r>
      <w:r>
        <w:rPr>
          <w:rFonts w:hint="eastAsia"/>
        </w:rPr>
        <w:t xml:space="preserve">样本外回测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按时段切片（如</w:t>
      </w:r>
      <w:r>
        <w:t xml:space="preserve"> </w:t>
      </w:r>
      <w:r>
        <w:rPr>
          <w:rFonts w:hint="eastAsia"/>
        </w:rPr>
        <w:t xml:space="preserve">2012–16、2017–19、2020–22），用前段训练、后段检验；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指标：超额收益、回撤、Hit</w:t>
      </w:r>
      <w:r>
        <w:t xml:space="preserve"> Ratio、Profit </w:t>
      </w:r>
      <w:r>
        <w:rPr>
          <w:rFonts w:hint="eastAsia"/>
        </w:rPr>
        <w:t xml:space="preserve">Factor、持仓半衰期。</w:t>
      </w:r>
    </w:p>
    <w:bookmarkEnd w:id="60"/>
    <w:bookmarkStart w:id="61" w:name="负面案例库"/>
    <w:p>
      <w:pPr>
        <w:pStyle w:val="Heading3"/>
      </w:pPr>
      <w:r>
        <w:t xml:space="preserve">9.2 </w:t>
      </w:r>
      <w:r>
        <w:rPr>
          <w:rFonts w:hint="eastAsia"/>
        </w:rPr>
        <w:t xml:space="preserve">负面案例库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对同赛道殒落者打标签：学习率断档/供给瓶颈/监管突变/需求错判；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每季度补录至少</w:t>
      </w:r>
      <w:r>
        <w:t xml:space="preserve"> 5 </w:t>
      </w:r>
      <w:r>
        <w:rPr>
          <w:rFonts w:hint="eastAsia"/>
        </w:rPr>
        <w:t xml:space="preserve">个失败样本，作为“警示集”。</w:t>
      </w:r>
    </w:p>
    <w:bookmarkEnd w:id="61"/>
    <w:bookmarkStart w:id="62" w:name="统计规范"/>
    <w:p>
      <w:pPr>
        <w:pStyle w:val="Heading3"/>
      </w:pPr>
      <w:r>
        <w:t xml:space="preserve">9.3 </w:t>
      </w:r>
      <w:r>
        <w:rPr>
          <w:rFonts w:hint="eastAsia"/>
        </w:rPr>
        <w:t xml:space="preserve">统计规范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统一数据口径、时间戳与版本；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报告中的图表给出数据源与计算公式，保留脚本与中间文件。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第十部分-行业适配示例六大赛道的参数化落地"/>
    <w:p>
      <w:pPr>
        <w:pStyle w:val="Heading1"/>
      </w:pPr>
      <w:r>
        <w:rPr>
          <w:rFonts w:hint="eastAsia"/>
        </w:rPr>
        <w:t xml:space="preserve">第十部分</w:t>
      </w:r>
      <w:r>
        <w:t xml:space="preserve"> </w:t>
      </w:r>
      <w:r>
        <w:rPr>
          <w:rFonts w:hint="eastAsia"/>
        </w:rPr>
        <w:t xml:space="preserve">行业适配示例：六大赛道的参数化落地</w:t>
      </w:r>
    </w:p>
    <w:p>
      <w:pPr>
        <w:pStyle w:val="BlockText"/>
      </w:pPr>
      <w:r>
        <w:rPr>
          <w:rFonts w:hint="eastAsia"/>
        </w:rPr>
        <w:t xml:space="preserve">下列示例仅给出参数化方法与关键阈值，不构成个股/指数建议。</w:t>
      </w:r>
    </w:p>
    <w:bookmarkStart w:id="64" w:name="ai-计算与应用"/>
    <w:p>
      <w:pPr>
        <w:pStyle w:val="Heading3"/>
      </w:pPr>
      <w:r>
        <w:t xml:space="preserve">10.1 AI </w:t>
      </w:r>
      <w:r>
        <w:rPr>
          <w:rFonts w:hint="eastAsia"/>
        </w:rPr>
        <w:t xml:space="preserve">计算与应用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时间轴：单位算力成本/能效（Ops/$、Ops/W）斜率；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产量轴：GPU/加速卡出货翻番学习率；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生态轴：开发者工具、模型部署标准、推理平台兼容度；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控制点：框架/编译器、算子库、生态锁定度；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特别红灯：出口管制与数据合规。</w:t>
      </w:r>
    </w:p>
    <w:bookmarkEnd w:id="64"/>
    <w:bookmarkStart w:id="65" w:name="半导体制造封测材料"/>
    <w:p>
      <w:pPr>
        <w:pStyle w:val="Heading3"/>
      </w:pPr>
      <w:r>
        <w:t xml:space="preserve">10.2 </w:t>
      </w:r>
      <w:r>
        <w:rPr>
          <w:rFonts w:hint="eastAsia"/>
        </w:rPr>
        <w:t xml:space="preserve">半导体（制造/封测/材料）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时间轴：关键工艺良率/单位晶圆成本；</w:t>
      </w:r>
      <w:r>
        <w:br/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产量轴：月产能翻番的折旧/Capex</w:t>
      </w:r>
      <w:r>
        <w:t xml:space="preserve"> </w:t>
      </w:r>
      <w:r>
        <w:rPr>
          <w:rFonts w:hint="eastAsia"/>
        </w:rPr>
        <w:t xml:space="preserve">比与单位成本曲线；</w:t>
      </w:r>
      <w:r>
        <w:br/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生态轴：设备/材料国产化率与备件可得性；</w:t>
      </w:r>
      <w:r>
        <w:br/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控制点：工艺配方、良率爬坡速度、供应商切换成本。</w:t>
      </w:r>
    </w:p>
    <w:bookmarkEnd w:id="65"/>
    <w:bookmarkStart w:id="66" w:name="储能与新能源"/>
    <w:p>
      <w:pPr>
        <w:pStyle w:val="Heading3"/>
      </w:pPr>
      <w:r>
        <w:t xml:space="preserve">10.3 </w:t>
      </w:r>
      <w:r>
        <w:rPr>
          <w:rFonts w:hint="eastAsia"/>
        </w:rPr>
        <w:t xml:space="preserve">储能与新能源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时间轴：$/kWh</w:t>
      </w:r>
      <w:r>
        <w:t xml:space="preserve"> </w:t>
      </w:r>
      <w:r>
        <w:rPr>
          <w:rFonts w:hint="eastAsia"/>
        </w:rPr>
        <w:t xml:space="preserve">与循环寿命；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产量轴：学习率（10–25%）与上游资源弹性；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生态轴：并网标准、逆变器/EMS</w:t>
      </w:r>
      <w:r>
        <w:t xml:space="preserve"> </w:t>
      </w:r>
      <w:r>
        <w:rPr>
          <w:rFonts w:hint="eastAsia"/>
        </w:rPr>
        <w:t xml:space="preserve">互操作；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红灯：上游资源寡头</w:t>
      </w:r>
      <w:r>
        <w:t xml:space="preserve"> + </w:t>
      </w:r>
      <w:r>
        <w:rPr>
          <w:rFonts w:hint="eastAsia"/>
        </w:rPr>
        <w:t xml:space="preserve">扩产难。</w:t>
      </w:r>
    </w:p>
    <w:bookmarkEnd w:id="66"/>
    <w:bookmarkStart w:id="67" w:name="生物医药"/>
    <w:p>
      <w:pPr>
        <w:pStyle w:val="Heading3"/>
      </w:pPr>
      <w:r>
        <w:t xml:space="preserve">10.4 </w:t>
      </w:r>
      <w:r>
        <w:rPr>
          <w:rFonts w:hint="eastAsia"/>
        </w:rPr>
        <w:t xml:space="preserve">生物医药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时间轴：测序/合成/筛选成本；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产量轴：临床样本/生产批次扩张下的单位成本；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生态轴：监管路径、支付方接受度、渠道准入；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控制点：专利族、CMC</w:t>
      </w:r>
      <w:r>
        <w:t xml:space="preserve"> </w:t>
      </w:r>
      <w:r>
        <w:rPr>
          <w:rFonts w:hint="eastAsia"/>
        </w:rPr>
        <w:t xml:space="preserve">能力、真实世界数据网络。</w:t>
      </w:r>
    </w:p>
    <w:bookmarkEnd w:id="67"/>
    <w:bookmarkStart w:id="68" w:name="机械自动化与机器人"/>
    <w:p>
      <w:pPr>
        <w:pStyle w:val="Heading3"/>
      </w:pPr>
      <w:r>
        <w:t xml:space="preserve">10.5 </w:t>
      </w:r>
      <w:r>
        <w:rPr>
          <w:rFonts w:hint="eastAsia"/>
        </w:rPr>
        <w:t xml:space="preserve">机械自动化与机器人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时间轴：单位产线节拍/良率/停机时间；</w:t>
      </w:r>
      <w:r>
        <w:br/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产量轴：整机/核心部件学习率；</w:t>
      </w:r>
      <w:r>
        <w:br/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生态轴：接口标准、系统集成商网络；</w:t>
      </w:r>
      <w:r>
        <w:br/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控制点：控制器与伺服算法、工艺</w:t>
      </w:r>
      <w:r>
        <w:t xml:space="preserve"> know-how。</w:t>
      </w:r>
    </w:p>
    <w:bookmarkEnd w:id="68"/>
    <w:bookmarkStart w:id="69" w:name="软件saas"/>
    <w:p>
      <w:pPr>
        <w:pStyle w:val="Heading3"/>
      </w:pPr>
      <w:r>
        <w:t xml:space="preserve">10.6 </w:t>
      </w:r>
      <w:r>
        <w:rPr>
          <w:rFonts w:hint="eastAsia"/>
        </w:rPr>
        <w:t xml:space="preserve">软件/SaaS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时间轴：单位功能成本/云资源成本；</w:t>
      </w:r>
      <w:r>
        <w:br/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产量轴：客户数翻番的边际毛利变化；</w:t>
      </w:r>
      <w:r>
        <w:br/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生态轴：API</w:t>
      </w:r>
      <w:r>
        <w:t xml:space="preserve"> </w:t>
      </w:r>
      <w:r>
        <w:rPr>
          <w:rFonts w:hint="eastAsia"/>
        </w:rPr>
        <w:t xml:space="preserve">标准、应用商店/生态；</w:t>
      </w:r>
      <w:r>
        <w:br/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控制点：数据迁移成本、合规资质、锁定机制。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第十一部分-治理与合规数据来源版本管理与审计轨迹"/>
    <w:p>
      <w:pPr>
        <w:pStyle w:val="Heading1"/>
      </w:pPr>
      <w:r>
        <w:rPr>
          <w:rFonts w:hint="eastAsia"/>
        </w:rPr>
        <w:t xml:space="preserve">第十一部分</w:t>
      </w:r>
      <w:r>
        <w:t xml:space="preserve"> </w:t>
      </w:r>
      <w:r>
        <w:rPr>
          <w:rFonts w:hint="eastAsia"/>
        </w:rPr>
        <w:t xml:space="preserve">治理与合规：数据来源、版本管理与审计轨迹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数据清单</w:t>
      </w:r>
      <w:r>
        <w:rPr>
          <w:rFonts w:hint="eastAsia"/>
        </w:rPr>
        <w:t xml:space="preserve">：公共财报、公告、海关/行业数据库、采样表；</w:t>
      </w:r>
      <w:r>
        <w:br/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版本管理</w:t>
      </w:r>
      <w:r>
        <w:rPr>
          <w:rFonts w:hint="eastAsia"/>
        </w:rPr>
        <w:t xml:space="preserve">：每次改动打</w:t>
      </w:r>
      <w:r>
        <w:t xml:space="preserve"> </w:t>
      </w:r>
      <w:r>
        <w:rPr>
          <w:rFonts w:hint="eastAsia"/>
        </w:rPr>
        <w:t xml:space="preserve">Tag，变更说明与责任人签名；</w:t>
      </w:r>
      <w:r>
        <w:br/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审计轨迹</w:t>
      </w:r>
      <w:r>
        <w:rPr>
          <w:rFonts w:hint="eastAsia"/>
        </w:rPr>
        <w:t xml:space="preserve">：关键结论必须指向原始证据，脚本留档可重跑。</w:t>
      </w:r>
    </w:p>
    <w:p>
      <w:r>
        <w:pict>
          <v:rect style="width:0;height:1.5pt" o:hralign="center" o:hrstd="t" o:hr="t"/>
        </w:pict>
      </w:r>
    </w:p>
    <w:bookmarkEnd w:id="71"/>
    <w:bookmarkStart w:id="86" w:name="第十二部分-运营手册周月季节奏会议模板与责任矩阵"/>
    <w:p>
      <w:pPr>
        <w:pStyle w:val="Heading1"/>
      </w:pPr>
      <w:r>
        <w:rPr>
          <w:rFonts w:hint="eastAsia"/>
        </w:rPr>
        <w:t xml:space="preserve">第十二部分</w:t>
      </w:r>
      <w:r>
        <w:t xml:space="preserve"> </w:t>
      </w:r>
      <w:r>
        <w:rPr>
          <w:rFonts w:hint="eastAsia"/>
        </w:rPr>
        <w:t xml:space="preserve">运营手册：周/月/季节奏、会议模板与责任矩阵</w:t>
      </w:r>
    </w:p>
    <w:bookmarkStart w:id="72" w:name="周节奏"/>
    <w:p>
      <w:pPr>
        <w:pStyle w:val="Heading3"/>
      </w:pPr>
      <w:r>
        <w:t xml:space="preserve">12.1 </w:t>
      </w:r>
      <w:r>
        <w:rPr>
          <w:rFonts w:hint="eastAsia"/>
        </w:rPr>
        <w:t xml:space="preserve">周节奏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周一：哨兵面板更新；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周三：估值区间刷新；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周五：因子暴露/相关性检查与微调。</w:t>
      </w:r>
    </w:p>
    <w:bookmarkEnd w:id="72"/>
    <w:bookmarkStart w:id="73" w:name="月节奏"/>
    <w:p>
      <w:pPr>
        <w:pStyle w:val="Heading3"/>
      </w:pPr>
      <w:r>
        <w:t xml:space="preserve">12.2 </w:t>
      </w:r>
      <w:r>
        <w:rPr>
          <w:rFonts w:hint="eastAsia"/>
        </w:rPr>
        <w:t xml:space="preserve">月节奏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月初：组合回撤预算重置；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月中：失败案例库补录；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月末：执行脚本大扫除（过期清理）。</w:t>
      </w:r>
    </w:p>
    <w:bookmarkEnd w:id="73"/>
    <w:bookmarkStart w:id="74" w:name="季节奏"/>
    <w:p>
      <w:pPr>
        <w:pStyle w:val="Heading3"/>
      </w:pPr>
      <w:r>
        <w:t xml:space="preserve">12.3 </w:t>
      </w:r>
      <w:r>
        <w:rPr>
          <w:rFonts w:hint="eastAsia"/>
        </w:rPr>
        <w:t xml:space="preserve">季节奏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季度复盘：样本外检验、参数回归、红灯条款回看；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责任矩阵：投研/交易/风控/数据工程各自</w:t>
      </w:r>
      <w:r>
        <w:t xml:space="preserve"> KPI </w:t>
      </w:r>
      <w:r>
        <w:rPr>
          <w:rFonts w:hint="eastAsia"/>
        </w:rPr>
        <w:t xml:space="preserve">与奖惩。</w:t>
      </w:r>
    </w:p>
    <w:p>
      <w:r>
        <w:pict>
          <v:rect style="width:0;height:1.5pt" o:hralign="center" o:hrstd="t" o:hr="t"/>
        </w:pict>
      </w:r>
    </w:p>
    <w:bookmarkEnd w:id="74"/>
    <w:bookmarkStart w:id="80" w:name="附录-a-量表模板与表单可直接复制到表格"/>
    <w:p>
      <w:pPr>
        <w:pStyle w:val="Heading2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量表模板与表单（可直接复制到表格）</w:t>
      </w:r>
    </w:p>
    <w:bookmarkStart w:id="75" w:name="a1-赛道评分表60-分"/>
    <w:p>
      <w:pPr>
        <w:pStyle w:val="Heading3"/>
      </w:pPr>
      <w:r>
        <w:t xml:space="preserve">A1 </w:t>
      </w:r>
      <w:r>
        <w:rPr>
          <w:rFonts w:hint="eastAsia"/>
        </w:rPr>
        <w:t xml:space="preserve">赛道评分表（60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时间斜率（15）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24 </w:t>
            </w:r>
            <w:r>
              <w:rPr>
                <w:rFonts w:hint="eastAsia"/>
              </w:rPr>
              <w:t xml:space="preserve">个月对数斜率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统一单位</w:t>
            </w:r>
          </w:p>
        </w:tc>
        <w:tc>
          <w:tcPr/>
          <w:p>
            <w:pPr>
              <w:pStyle w:val="Compact"/>
            </w:pPr>
            <w:r>
              <w:t xml:space="preserve">0–15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学习率（15）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两次翻番成本下降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多源校验</w:t>
            </w:r>
          </w:p>
        </w:tc>
        <w:tc>
          <w:tcPr/>
          <w:p>
            <w:pPr>
              <w:pStyle w:val="Compact"/>
            </w:pPr>
            <w:r>
              <w:t xml:space="preserve">0–15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生态成熟（15）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标准/互补/开发者</w:t>
            </w:r>
          </w:p>
        </w:tc>
        <w:tc>
          <w:tcPr/>
          <w:p>
            <w:pPr>
              <w:pStyle w:val="Compact"/>
            </w:pPr>
            <w:r>
              <w:t xml:space="preserve">GSI </w:t>
            </w:r>
            <w:r>
              <w:rPr>
                <w:rFonts w:hint="eastAsia"/>
              </w:rPr>
              <w:t xml:space="preserve">指数</w:t>
            </w:r>
          </w:p>
        </w:tc>
        <w:tc>
          <w:tcPr/>
          <w:p>
            <w:pPr>
              <w:pStyle w:val="Compact"/>
            </w:pPr>
            <w:r>
              <w:t xml:space="preserve">0–15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供给弹性（15）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CR3、交期、Capex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行业模型</w:t>
            </w:r>
          </w:p>
        </w:tc>
        <w:tc>
          <w:tcPr/>
          <w:p>
            <w:pPr>
              <w:pStyle w:val="Compact"/>
            </w:pPr>
            <w:r>
              <w:t xml:space="preserve">0–15</w:t>
            </w:r>
          </w:p>
        </w:tc>
      </w:tr>
    </w:tbl>
    <w:bookmarkEnd w:id="75"/>
    <w:bookmarkStart w:id="76" w:name="a2-公司评分表40-分"/>
    <w:p>
      <w:pPr>
        <w:pStyle w:val="Heading3"/>
      </w:pPr>
      <w:r>
        <w:t xml:space="preserve">A2 </w:t>
      </w:r>
      <w:r>
        <w:rPr>
          <w:rFonts w:hint="eastAsia"/>
        </w:rPr>
        <w:t xml:space="preserve">公司评分表（40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控制点（12）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标准/数据/工具/牌照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证据链接</w:t>
            </w:r>
          </w:p>
        </w:tc>
        <w:tc>
          <w:tcPr/>
          <w:p>
            <w:pPr>
              <w:pStyle w:val="Compact"/>
            </w:pPr>
            <w:r>
              <w:t xml:space="preserve">0–12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合同现金（12）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预收/预付/客户结构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财报/合同</w:t>
            </w:r>
          </w:p>
        </w:tc>
        <w:tc>
          <w:tcPr/>
          <w:p>
            <w:pPr>
              <w:pStyle w:val="Compact"/>
            </w:pPr>
            <w:r>
              <w:t xml:space="preserve">0–12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ROIC–WACC（8）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三年滚动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统一口径</w:t>
            </w:r>
          </w:p>
        </w:tc>
        <w:tc>
          <w:tcPr/>
          <w:p>
            <w:pPr>
              <w:pStyle w:val="Compact"/>
            </w:pPr>
            <w:r>
              <w:t xml:space="preserve">0–8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执行半径（8）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本地化/风控记录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合规审查</w:t>
            </w:r>
          </w:p>
        </w:tc>
        <w:tc>
          <w:tcPr/>
          <w:p>
            <w:pPr>
              <w:pStyle w:val="Compact"/>
            </w:pPr>
            <w:r>
              <w:t xml:space="preserve">0–8</w:t>
            </w:r>
          </w:p>
        </w:tc>
      </w:tr>
    </w:tbl>
    <w:bookmarkEnd w:id="76"/>
    <w:bookmarkStart w:id="77" w:name="a3-哨兵面板"/>
    <w:p>
      <w:pPr>
        <w:pStyle w:val="Heading3"/>
      </w:pPr>
      <w:r>
        <w:t xml:space="preserve">A3 </w:t>
      </w:r>
      <w:r>
        <w:rPr>
          <w:rFonts w:hint="eastAsia"/>
        </w:rPr>
        <w:t xml:space="preserve">哨兵面板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报价回落、交期、良率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回落&gt;15%/缩短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亮/暗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预收/预付、集中度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+2pp/下降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亮/暗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二阶导、分歧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&gt;0/收敛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亮/暗</w:t>
            </w:r>
          </w:p>
        </w:tc>
      </w:tr>
    </w:tbl>
    <w:bookmarkEnd w:id="77"/>
    <w:bookmarkStart w:id="78" w:name="a4-估值区间卡"/>
    <w:p>
      <w:pPr>
        <w:pStyle w:val="Heading3"/>
      </w:pPr>
      <w:r>
        <w:t xml:space="preserve">A4 </w:t>
      </w:r>
      <w:r>
        <w:rPr>
          <w:rFonts w:hint="eastAsia"/>
        </w:rPr>
        <w:t xml:space="preserve">估值区间卡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标的</w:t>
            </w:r>
          </w:p>
        </w:tc>
        <w:tc>
          <w:tcPr/>
          <w:p>
            <w:pPr>
              <w:pStyle w:val="Compact"/>
            </w:pP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p75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8"/>
    <w:bookmarkStart w:id="79" w:name="a5-风控条款清单"/>
    <w:p>
      <w:pPr>
        <w:pStyle w:val="Heading3"/>
      </w:pPr>
      <w:r>
        <w:t xml:space="preserve">A5 </w:t>
      </w:r>
      <w:r>
        <w:rPr>
          <w:rFonts w:hint="eastAsia"/>
        </w:rPr>
        <w:t xml:space="preserve">风控条款清单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10Y-短端&lt;-50bp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二读/管制升级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上游寡头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CR3&gt;70%、交期&gt;12m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学习率×0.5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标准未定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多套标准无合并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仓位腰斩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1" w:name="附录-b-术语表与常见谬误"/>
    <w:p>
      <w:pPr>
        <w:pStyle w:val="Heading2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术语表与常见谬误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学习率</w:t>
      </w:r>
      <w:r>
        <w:rPr>
          <w:rFonts w:hint="eastAsia"/>
        </w:rPr>
        <w:t xml:space="preserve">：产量每翻一番的单位成本下降比例。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二阶导</w:t>
      </w:r>
      <w:r>
        <w:rPr>
          <w:rFonts w:hint="eastAsia"/>
        </w:rPr>
        <w:t xml:space="preserve">：对时间的二次变化率，反映变化的加速度。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等回撤权</w:t>
      </w:r>
      <w:r>
        <w:rPr>
          <w:rFonts w:hint="eastAsia"/>
        </w:rPr>
        <w:t xml:space="preserve">：以回撤预算为权重分配的持仓方法。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常见谬误：把协同效应当护城河；把单季</w:t>
      </w:r>
      <w:r>
        <w:t xml:space="preserve"> Beat </w:t>
      </w:r>
      <w:r>
        <w:rPr>
          <w:rFonts w:hint="eastAsia"/>
        </w:rPr>
        <w:t xml:space="preserve">当长期趋势；用故事替代数据。</w:t>
      </w:r>
    </w:p>
    <w:p>
      <w:r>
        <w:pict>
          <v:rect style="width:0;height:1.5pt" o:hralign="center" o:hrstd="t" o:hr="t"/>
        </w:pict>
      </w:r>
    </w:p>
    <w:bookmarkEnd w:id="81"/>
    <w:bookmarkStart w:id="82" w:name="附录-c-风控参数与对冲配方示例"/>
    <w:p>
      <w:pPr>
        <w:pStyle w:val="Heading2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风控参数与对冲配方（示例）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目标年化回撤</w:t>
      </w:r>
      <w:r>
        <w:t xml:space="preserve"> </w:t>
      </w:r>
      <w:r>
        <w:rPr>
          <w:rFonts w:hint="eastAsia"/>
        </w:rPr>
        <w:t xml:space="preserve">12%，在险价值</w:t>
      </w:r>
      <w:r>
        <w:t xml:space="preserve"> 95% </w:t>
      </w:r>
      <w:r>
        <w:rPr>
          <w:rFonts w:hint="eastAsia"/>
        </w:rPr>
        <w:t xml:space="preserve">置信。</w:t>
      </w:r>
      <w:r>
        <w:br/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覆盖比率区间：系统性</w:t>
      </w:r>
      <w:r>
        <w:t xml:space="preserve"> </w:t>
      </w:r>
      <w:r>
        <w:rPr>
          <w:rFonts w:hint="eastAsia"/>
        </w:rPr>
        <w:t xml:space="preserve">20–60%，行业性</w:t>
      </w:r>
      <w:r>
        <w:t xml:space="preserve"> </w:t>
      </w:r>
      <w:r>
        <w:rPr>
          <w:rFonts w:hint="eastAsia"/>
        </w:rPr>
        <w:t xml:space="preserve">0–40%，个股性</w:t>
      </w:r>
      <w:r>
        <w:t xml:space="preserve"> 0–30%。</w:t>
      </w:r>
      <w:r>
        <w:br/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期权期限匹配：与预期回撤半衰期一致（如</w:t>
      </w:r>
      <w:r>
        <w:t xml:space="preserve"> 1–3 </w:t>
      </w:r>
      <w:r>
        <w:rPr>
          <w:rFonts w:hint="eastAsia"/>
        </w:rPr>
        <w:t xml:space="preserve">个月）。</w:t>
      </w:r>
    </w:p>
    <w:p>
      <w:r>
        <w:pict>
          <v:rect style="width:0;height:1.5pt" o:hralign="center" o:hrstd="t" o:hr="t"/>
        </w:pict>
      </w:r>
    </w:p>
    <w:bookmarkEnd w:id="82"/>
    <w:bookmarkStart w:id="83" w:name="附录-d-执行脚本与伪代码"/>
    <w:p>
      <w:pPr>
        <w:pStyle w:val="Heading2"/>
      </w:pPr>
      <w:r>
        <w:rPr>
          <w:rFonts w:hint="eastAsia"/>
        </w:rPr>
        <w:t xml:space="preserve">附录</w:t>
      </w:r>
      <w:r>
        <w:t xml:space="preserve"> D </w:t>
      </w:r>
      <w:r>
        <w:rPr>
          <w:rFonts w:hint="eastAsia"/>
        </w:rPr>
        <w:t xml:space="preserve">执行脚本与伪代码</w:t>
      </w:r>
    </w:p>
    <w:p>
      <w:pPr>
        <w:pStyle w:val="FirstParagraph"/>
      </w:pPr>
      <w:r>
        <w:rPr>
          <w:rFonts w:hint="eastAsia"/>
          <w:b/>
          <w:bCs/>
        </w:rPr>
        <w:t xml:space="preserve">示例脚本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若：关键部件报价自高位回落≥15%</w:t>
      </w:r>
      <w:r>
        <w:t xml:space="preserve"> </w:t>
      </w:r>
      <w:r>
        <w:rPr>
          <w:rFonts w:hint="eastAsia"/>
        </w:rPr>
        <w:t xml:space="preserve">且交期由</w:t>
      </w:r>
      <w:r>
        <w:t xml:space="preserve"> 12 </w:t>
      </w:r>
      <w:r>
        <w:rPr>
          <w:rFonts w:hint="eastAsia"/>
        </w:rPr>
        <w:t xml:space="preserve">周缩至</w:t>
      </w:r>
      <w:r>
        <w:t xml:space="preserve"> 8 </w:t>
      </w:r>
      <w:r>
        <w:rPr>
          <w:rFonts w:hint="eastAsia"/>
        </w:rPr>
        <w:t xml:space="preserve">周；</w:t>
      </w:r>
      <w:r>
        <w:br/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那么：在</w:t>
      </w:r>
      <w:r>
        <w:t xml:space="preserve"> p50×0.8–0.85 </w:t>
      </w:r>
      <w:r>
        <w:rPr>
          <w:rFonts w:hint="eastAsia"/>
        </w:rPr>
        <w:t xml:space="preserve">区间建仓目标权重的</w:t>
      </w:r>
      <w:r>
        <w:t xml:space="preserve"> </w:t>
      </w:r>
      <w:r>
        <w:rPr>
          <w:rFonts w:hint="eastAsia"/>
        </w:rPr>
        <w:t xml:space="preserve">50%；</w:t>
      </w:r>
      <w:r>
        <w:br/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证据：供应商</w:t>
      </w:r>
      <w:r>
        <w:t xml:space="preserve"> A/B </w:t>
      </w:r>
      <w:r>
        <w:rPr>
          <w:rFonts w:hint="eastAsia"/>
        </w:rPr>
        <w:t xml:space="preserve">报价单、采购系统记录；</w:t>
      </w:r>
      <w:r>
        <w:br/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时限：30</w:t>
      </w:r>
      <w:r>
        <w:t xml:space="preserve"> </w:t>
      </w:r>
      <w:r>
        <w:rPr>
          <w:rFonts w:hint="eastAsia"/>
        </w:rPr>
        <w:t xml:space="preserve">天，逾期作废。</w:t>
      </w:r>
    </w:p>
    <w:p>
      <w:pPr>
        <w:pStyle w:val="FirstParagraph"/>
      </w:pPr>
      <w:r>
        <w:rPr>
          <w:rFonts w:hint="eastAsia"/>
          <w:b/>
          <w:bCs/>
        </w:rPr>
        <w:t xml:space="preserve">伪代码</w:t>
      </w:r>
      <w:r>
        <w:rPr>
          <w:rFonts w:hint="eastAsia"/>
        </w:rPr>
        <w:t xml:space="preserve">（简化版）：</w:t>
      </w:r>
    </w:p>
    <w:p>
      <w:pPr>
        <w:pStyle w:val="SourceCode"/>
      </w:pPr>
      <w:r>
        <w:rPr>
          <w:rStyle w:val="VerbatimChar"/>
        </w:rPr>
        <w:t xml:space="preserve">if supply_sentry.on() + contract_sentry.on() + model_sentry.on() &gt;= 2:</w:t>
      </w:r>
      <w:r>
        <w:br/>
      </w:r>
      <w:r>
        <w:rPr>
          <w:rStyle w:val="VerbatimChar"/>
        </w:rPr>
        <w:t xml:space="preserve">    if price in entry_band and combo.drawdown &lt; budget:</w:t>
      </w:r>
      <w:r>
        <w:br/>
      </w:r>
      <w:r>
        <w:rPr>
          <w:rStyle w:val="VerbatimChar"/>
        </w:rPr>
        <w:t xml:space="preserve">        target_w = alloc_equal_drawdown(volatility, corr)</w:t>
      </w:r>
      <w:r>
        <w:br/>
      </w:r>
      <w:r>
        <w:rPr>
          <w:rStyle w:val="VerbatimChar"/>
        </w:rPr>
        <w:t xml:space="preserve">        trade_to(target_w)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hold_or_reduce()</w:t>
      </w:r>
    </w:p>
    <w:p>
      <w:r>
        <w:pict>
          <v:rect style="width:0;height:1.5pt" o:hralign="center" o:hrstd="t" o:hr="t"/>
        </w:pict>
      </w:r>
    </w:p>
    <w:bookmarkEnd w:id="83"/>
    <w:bookmarkStart w:id="84" w:name="附录-e-复盘纪要样例"/>
    <w:p>
      <w:pPr>
        <w:pStyle w:val="Heading2"/>
      </w:pPr>
      <w:r>
        <w:rPr>
          <w:rFonts w:hint="eastAsia"/>
        </w:rPr>
        <w:t xml:space="preserve">附录</w:t>
      </w:r>
      <w:r>
        <w:t xml:space="preserve"> E </w:t>
      </w:r>
      <w:r>
        <w:rPr>
          <w:rFonts w:hint="eastAsia"/>
        </w:rPr>
        <w:t xml:space="preserve">复盘纪要样例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：某赛道学习率断档，供给哨兵转暗；</w:t>
      </w:r>
      <w:r>
        <w:br/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：基本面止损半仓；</w:t>
      </w:r>
      <w:r>
        <w:br/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：回撤由</w:t>
      </w:r>
      <w:r>
        <w:t xml:space="preserve"> –15% </w:t>
      </w:r>
      <w:r>
        <w:rPr>
          <w:rFonts w:hint="eastAsia"/>
        </w:rPr>
        <w:t xml:space="preserve">控至</w:t>
      </w:r>
      <w:r>
        <w:t xml:space="preserve"> </w:t>
      </w:r>
      <w:r>
        <w:rPr>
          <w:rFonts w:hint="eastAsia"/>
        </w:rPr>
        <w:t xml:space="preserve">–9%；</w:t>
      </w:r>
      <w:r>
        <w:br/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改进</w:t>
      </w:r>
      <w:r>
        <w:rPr>
          <w:rFonts w:hint="eastAsia"/>
        </w:rPr>
        <w:t xml:space="preserve">：将“良率周度样本数”从</w:t>
      </w:r>
      <w:r>
        <w:t xml:space="preserve"> 3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7，降低噪声。</w:t>
      </w:r>
    </w:p>
    <w:p>
      <w:r>
        <w:pict>
          <v:rect style="width:0;height:1.5pt" o:hralign="center" o:hrstd="t" o:hr="t"/>
        </w:pict>
      </w:r>
    </w:p>
    <w:bookmarkEnd w:id="84"/>
    <w:bookmarkStart w:id="85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技术革命的魅力在于非线性，但资产管理的底层是纪律。把指数精神拆解为三轴证据，把里程碑前置成三类哨兵，把风险写成硬阈值，把交易变成脚本，让失败样本成为老师。体系才算从“可聊”走向“可用”。</w: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2025-10-21T07:11:07Z</dcterms:created>
  <dcterms:modified xsi:type="dcterms:W3CDTF">2025-10-21T07:11:07Z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