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BEA89" w14:textId="41F3BF06" w:rsidR="00D42722" w:rsidRPr="00D42722" w:rsidRDefault="00D42722" w:rsidP="00D42722">
      <w:pPr>
        <w:rPr>
          <w:b/>
          <w:bCs/>
        </w:rPr>
      </w:pPr>
      <w:r w:rsidRPr="00D42722">
        <w:rPr>
          <w:b/>
          <w:bCs/>
        </w:rPr>
        <w:t>指数型投资者：驾驭技术革命的框架</w:t>
      </w:r>
    </w:p>
    <w:p w14:paraId="59C17464" w14:textId="77777777" w:rsidR="00D42722" w:rsidRPr="00D42722" w:rsidRDefault="00D42722" w:rsidP="00D42722">
      <w:pPr>
        <w:rPr>
          <w:b/>
          <w:bCs/>
        </w:rPr>
      </w:pPr>
      <w:r w:rsidRPr="00D42722">
        <w:rPr>
          <w:b/>
          <w:bCs/>
        </w:rPr>
        <w:t>第一部分：技术革命的动力学：战略投资者的地图</w:t>
      </w:r>
    </w:p>
    <w:p w14:paraId="6D9B0C5F" w14:textId="77777777" w:rsidR="00D42722" w:rsidRPr="00D42722" w:rsidRDefault="00D42722" w:rsidP="00D42722">
      <w:r w:rsidRPr="00D42722">
        <w:t xml:space="preserve">理解技术革命的宏观节律，是制定成功投资策略的基石。每一次技术浪潮，从蒸汽机到人工智能，都并非线性发展，而是遵循着一种可预测的、以金融资本与生产资本的互动为核心的周期性模式。经济史学家卡萝塔·佩雷丝（Carlota Perez）的研究为我们提供了一张宝贵的战略地图，她将每一次长达约半个世纪的技术革命划分为安装阶段（Installation Period）和部署阶段（Deployment Period），中间以一次重大的金融危机或市场调整作为转折点 。本部分将佩雷丝的学术理论转化为一套可供投资者使用的战略导航系统，详细解构技术革命的五个关键阶段，并为每个阶段提供清晰的识别信号与行动指南。   </w:t>
      </w:r>
    </w:p>
    <w:p w14:paraId="703695DD" w14:textId="77777777" w:rsidR="00D42722" w:rsidRPr="00D42722" w:rsidRDefault="00D42722" w:rsidP="00D42722">
      <w:pPr>
        <w:rPr>
          <w:b/>
          <w:bCs/>
        </w:rPr>
      </w:pPr>
      <w:r w:rsidRPr="00D42722">
        <w:rPr>
          <w:b/>
          <w:bCs/>
        </w:rPr>
        <w:t>1.1 伟大浪潮：解</w:t>
      </w:r>
      <w:proofErr w:type="gramStart"/>
      <w:r w:rsidRPr="00D42722">
        <w:rPr>
          <w:b/>
          <w:bCs/>
        </w:rPr>
        <w:t>构革命</w:t>
      </w:r>
      <w:proofErr w:type="gramEnd"/>
      <w:r w:rsidRPr="00D42722">
        <w:rPr>
          <w:b/>
          <w:bCs/>
        </w:rPr>
        <w:t>的五个阶段</w:t>
      </w:r>
    </w:p>
    <w:p w14:paraId="79203B23" w14:textId="77777777" w:rsidR="00D42722" w:rsidRPr="00D42722" w:rsidRDefault="00D42722" w:rsidP="00D42722">
      <w:r w:rsidRPr="00D42722">
        <w:t xml:space="preserve">对于投资者而言，识别当前市场处于哪个宏观阶段，是决定采取何种投资风格、估值方法和风险姿态的首要任务。这五个阶段——导入期、狂热期、转折点、协同阶段和成熟期——共同构成了一次完整的技术经济范式转移 。   </w:t>
      </w:r>
    </w:p>
    <w:p w14:paraId="6489B7A8" w14:textId="77777777" w:rsidR="00D42722" w:rsidRPr="00D42722" w:rsidRDefault="00D42722" w:rsidP="00D42722">
      <w:pPr>
        <w:rPr>
          <w:b/>
          <w:bCs/>
        </w:rPr>
      </w:pPr>
      <w:r w:rsidRPr="00D42722">
        <w:rPr>
          <w:b/>
          <w:bCs/>
        </w:rPr>
        <w:t>阶段</w:t>
      </w:r>
      <w:proofErr w:type="gramStart"/>
      <w:r w:rsidRPr="00D42722">
        <w:rPr>
          <w:b/>
          <w:bCs/>
        </w:rPr>
        <w:t>一</w:t>
      </w:r>
      <w:proofErr w:type="gramEnd"/>
      <w:r w:rsidRPr="00D42722">
        <w:rPr>
          <w:b/>
          <w:bCs/>
        </w:rPr>
        <w:t>：导入期 (Irruption) - 创新的“寒武纪大爆发”</w:t>
      </w:r>
    </w:p>
    <w:p w14:paraId="1257914F" w14:textId="77777777" w:rsidR="00D42722" w:rsidRPr="00D42722" w:rsidRDefault="00D42722" w:rsidP="00D42722">
      <w:pPr>
        <w:numPr>
          <w:ilvl w:val="0"/>
          <w:numId w:val="1"/>
        </w:numPr>
      </w:pPr>
      <w:r w:rsidRPr="00D42722">
        <w:rPr>
          <w:b/>
          <w:bCs/>
        </w:rPr>
        <w:t>描述与特征：</w:t>
      </w:r>
      <w:r w:rsidRPr="00D42722">
        <w:t xml:space="preserve"> 这是技术革命的黎明时分，以一项或一组突破性技术的“喷涌”为标志，例如20世纪70年代的微处理器、</w:t>
      </w:r>
      <w:proofErr w:type="gramStart"/>
      <w:r w:rsidRPr="00D42722">
        <w:t>2010</w:t>
      </w:r>
      <w:proofErr w:type="gramEnd"/>
      <w:r w:rsidRPr="00D42722">
        <w:t xml:space="preserve">年代初期的深度学习算法 。此时，新技术在少数领域展现出巨大潜力，但其商业化路径充满高度不确定性，市场认知度低，失败率极高。这是一个充满熊彼特式“创造性破坏”的时期，新公司不断涌现，旧的技术范式开始显露颓势 。   </w:t>
      </w:r>
    </w:p>
    <w:p w14:paraId="446E3F0B" w14:textId="77777777" w:rsidR="00D42722" w:rsidRPr="00D42722" w:rsidRDefault="00D42722" w:rsidP="00D42722">
      <w:pPr>
        <w:numPr>
          <w:ilvl w:val="0"/>
          <w:numId w:val="1"/>
        </w:numPr>
      </w:pPr>
      <w:r w:rsidRPr="00D42722">
        <w:rPr>
          <w:b/>
          <w:bCs/>
        </w:rPr>
        <w:t>资本与投资者行为：</w:t>
      </w:r>
      <w:r w:rsidRPr="00D42722">
        <w:t xml:space="preserve"> 这一阶段由“敢于冒险”的金融资本主导，尤其是风险投资（VC）和天使投资人。他们被新技术可能带来的超高回报所吸引，将资金投向充满</w:t>
      </w:r>
      <w:proofErr w:type="gramStart"/>
      <w:r w:rsidRPr="00D42722">
        <w:t>愿景但</w:t>
      </w:r>
      <w:proofErr w:type="gramEnd"/>
      <w:r w:rsidRPr="00D42722">
        <w:t>缺乏稳定现金流的初创企业。而来自旧范式的生产资本则普遍持怀疑和观望态度。投资决策主要基于对技术前景和</w:t>
      </w:r>
      <w:proofErr w:type="gramStart"/>
      <w:r w:rsidRPr="00D42722">
        <w:t>团队愿景的</w:t>
      </w:r>
      <w:proofErr w:type="gramEnd"/>
      <w:r w:rsidRPr="00D42722">
        <w:t xml:space="preserve">判断，而非传统的财务分析 。   </w:t>
      </w:r>
    </w:p>
    <w:p w14:paraId="54755D70" w14:textId="77777777" w:rsidR="00D42722" w:rsidRPr="00D42722" w:rsidRDefault="00D42722" w:rsidP="00D42722">
      <w:pPr>
        <w:numPr>
          <w:ilvl w:val="0"/>
          <w:numId w:val="1"/>
        </w:numPr>
      </w:pPr>
      <w:r w:rsidRPr="00D42722">
        <w:rPr>
          <w:b/>
          <w:bCs/>
        </w:rPr>
        <w:t>数据信号监测：</w:t>
      </w:r>
    </w:p>
    <w:p w14:paraId="358E86BA" w14:textId="77777777" w:rsidR="00D42722" w:rsidRPr="00D42722" w:rsidRDefault="00D42722" w:rsidP="00D42722">
      <w:pPr>
        <w:numPr>
          <w:ilvl w:val="1"/>
          <w:numId w:val="1"/>
        </w:numPr>
      </w:pPr>
      <w:r w:rsidRPr="00D42722">
        <w:rPr>
          <w:b/>
          <w:bCs/>
        </w:rPr>
        <w:t>风险投资流向：</w:t>
      </w:r>
      <w:r w:rsidRPr="00D42722">
        <w:t xml:space="preserve"> 密切关注特定技术领域的风险投资额和交易数量。VC资金的激增是技术进入导入期的明确信号。相关数据可从</w:t>
      </w:r>
      <w:proofErr w:type="spellStart"/>
      <w:r w:rsidRPr="00D42722">
        <w:t>PitchBook</w:t>
      </w:r>
      <w:proofErr w:type="spellEnd"/>
      <w:r w:rsidRPr="00D42722">
        <w:t>、</w:t>
      </w:r>
      <w:proofErr w:type="spellStart"/>
      <w:r w:rsidRPr="00D42722">
        <w:t>Preqin</w:t>
      </w:r>
      <w:proofErr w:type="spellEnd"/>
      <w:r w:rsidRPr="00D42722">
        <w:t xml:space="preserve">、CB Insights等平台获取 。   </w:t>
      </w:r>
    </w:p>
    <w:p w14:paraId="37D35CC5" w14:textId="77777777" w:rsidR="00D42722" w:rsidRPr="00D42722" w:rsidRDefault="00D42722" w:rsidP="00D42722">
      <w:pPr>
        <w:numPr>
          <w:ilvl w:val="1"/>
          <w:numId w:val="1"/>
        </w:numPr>
      </w:pPr>
      <w:r w:rsidRPr="00D42722">
        <w:rPr>
          <w:b/>
          <w:bCs/>
        </w:rPr>
        <w:t>专利申请速度：</w:t>
      </w:r>
      <w:r w:rsidRPr="00D42722">
        <w:t xml:space="preserve"> 追踪相关领域的专利申请数量和授权速度，这反映了技术创新的活跃程度 。   </w:t>
      </w:r>
    </w:p>
    <w:p w14:paraId="429ACB2E" w14:textId="77777777" w:rsidR="00D42722" w:rsidRPr="00D42722" w:rsidRDefault="00D42722" w:rsidP="00D42722">
      <w:pPr>
        <w:numPr>
          <w:ilvl w:val="1"/>
          <w:numId w:val="1"/>
        </w:numPr>
      </w:pPr>
      <w:r w:rsidRPr="00D42722">
        <w:rPr>
          <w:b/>
          <w:bCs/>
        </w:rPr>
        <w:t>性能的量级提升：</w:t>
      </w:r>
      <w:r w:rsidRPr="00D42722">
        <w:t xml:space="preserve"> 寻找技术在实验室或小范围测试中实现“10倍量级提升”的证据。这种非线性的性能飞跃是技术从理论走向实用的关键一步 。   </w:t>
      </w:r>
    </w:p>
    <w:p w14:paraId="477186D7" w14:textId="77777777" w:rsidR="00D42722" w:rsidRPr="00D42722" w:rsidRDefault="00D42722" w:rsidP="00D42722">
      <w:pPr>
        <w:rPr>
          <w:b/>
          <w:bCs/>
        </w:rPr>
      </w:pPr>
      <w:r w:rsidRPr="00D42722">
        <w:rPr>
          <w:b/>
          <w:bCs/>
        </w:rPr>
        <w:t xml:space="preserve">阶段二：狂热期 (Frenzy) - </w:t>
      </w:r>
      <w:proofErr w:type="gramStart"/>
      <w:r w:rsidRPr="00D42722">
        <w:rPr>
          <w:b/>
          <w:bCs/>
        </w:rPr>
        <w:t>宽松资金</w:t>
      </w:r>
      <w:proofErr w:type="gramEnd"/>
      <w:r w:rsidRPr="00D42722">
        <w:rPr>
          <w:b/>
          <w:bCs/>
        </w:rPr>
        <w:t>的非理性繁荣</w:t>
      </w:r>
    </w:p>
    <w:p w14:paraId="694ECBDB" w14:textId="77777777" w:rsidR="00D42722" w:rsidRPr="00D42722" w:rsidRDefault="00D42722" w:rsidP="00D42722">
      <w:pPr>
        <w:numPr>
          <w:ilvl w:val="0"/>
          <w:numId w:val="2"/>
        </w:numPr>
      </w:pPr>
      <w:r w:rsidRPr="00D42722">
        <w:rPr>
          <w:b/>
          <w:bCs/>
        </w:rPr>
        <w:t>描述与特征：</w:t>
      </w:r>
      <w:r w:rsidRPr="00D42722">
        <w:t xml:space="preserve"> 随着导入期少数成功案例的出现，新技术的潜力变得广为人知，市场情绪迅速转向极度乐观。大量投机性金融资本如潮水般涌入，推动相关资产价格急剧膨胀，严重脱离基本面，形成金融泡沫。历史上的铁路狂热、互联网泡沫以及当前（2023-2025年）的人工智能热潮都具备此阶段的特征 。在泡沫的刺激下，新技术的基础设施被超前、甚至过度地建设起来，例如90年代末的光纤网络和当前AI所需的大规模数据中心 。   </w:t>
      </w:r>
    </w:p>
    <w:p w14:paraId="0EEF8407" w14:textId="77777777" w:rsidR="00D42722" w:rsidRPr="00D42722" w:rsidRDefault="00D42722" w:rsidP="00D42722">
      <w:pPr>
        <w:numPr>
          <w:ilvl w:val="0"/>
          <w:numId w:val="2"/>
        </w:numPr>
      </w:pPr>
      <w:r w:rsidRPr="00D42722">
        <w:rPr>
          <w:b/>
          <w:bCs/>
        </w:rPr>
        <w:t>资本与投资者行为：</w:t>
      </w:r>
      <w:r w:rsidRPr="00D42722">
        <w:t xml:space="preserve"> 在此阶段，金融资本的力量达到顶峰，甚至产生一种能够脱离实体经济自我循环创造财富的“傲慢”错觉。生产资本被迫遵循股市的逻辑，追逐短期股价表现。市场由羊群效应主导，投机行为普遍，理性分析被边缘化 。   </w:t>
      </w:r>
    </w:p>
    <w:p w14:paraId="15A8B080" w14:textId="77777777" w:rsidR="00D42722" w:rsidRPr="00D42722" w:rsidRDefault="00D42722" w:rsidP="00D42722">
      <w:pPr>
        <w:numPr>
          <w:ilvl w:val="0"/>
          <w:numId w:val="2"/>
        </w:numPr>
      </w:pPr>
      <w:r w:rsidRPr="00D42722">
        <w:rPr>
          <w:b/>
          <w:bCs/>
        </w:rPr>
        <w:t>数据信号监测：</w:t>
      </w:r>
    </w:p>
    <w:p w14:paraId="0387DB92" w14:textId="77777777" w:rsidR="00D42722" w:rsidRPr="00D42722" w:rsidRDefault="00D42722" w:rsidP="00D42722">
      <w:pPr>
        <w:numPr>
          <w:ilvl w:val="1"/>
          <w:numId w:val="2"/>
        </w:numPr>
      </w:pPr>
      <w:r w:rsidRPr="00D42722">
        <w:rPr>
          <w:b/>
          <w:bCs/>
        </w:rPr>
        <w:t>极端估值水平：</w:t>
      </w:r>
      <w:r w:rsidRPr="00D42722">
        <w:t xml:space="preserve"> 关注市销率（P/S）等非盈利指标的急剧攀升。例如，在AI热潮中，Palantir等公司的市销率远超历史常态，这是泡沫的典型特征 。   </w:t>
      </w:r>
    </w:p>
    <w:p w14:paraId="0DFF24F1" w14:textId="77777777" w:rsidR="00D42722" w:rsidRPr="00D42722" w:rsidRDefault="00D42722" w:rsidP="00D42722">
      <w:pPr>
        <w:numPr>
          <w:ilvl w:val="1"/>
          <w:numId w:val="2"/>
        </w:numPr>
      </w:pPr>
      <w:r w:rsidRPr="00D42722">
        <w:rPr>
          <w:b/>
          <w:bCs/>
        </w:rPr>
        <w:lastRenderedPageBreak/>
        <w:t>市场情绪指标：</w:t>
      </w:r>
      <w:r w:rsidRPr="00D42722">
        <w:t xml:space="preserve"> 追踪各</w:t>
      </w:r>
      <w:proofErr w:type="gramStart"/>
      <w:r w:rsidRPr="00D42722">
        <w:t>类情绪</w:t>
      </w:r>
      <w:proofErr w:type="gramEnd"/>
      <w:r w:rsidRPr="00D42722">
        <w:t xml:space="preserve">指数、媒体报道热度和散户参与度。当市场出现全民讨论、不计成本追高等现象时，表明已进入狂热期 。当前关于AI投资的讨论热度正处于高位 。   </w:t>
      </w:r>
    </w:p>
    <w:p w14:paraId="1038EE2C" w14:textId="77777777" w:rsidR="00D42722" w:rsidRPr="00D42722" w:rsidRDefault="00D42722" w:rsidP="00D42722">
      <w:pPr>
        <w:numPr>
          <w:ilvl w:val="1"/>
          <w:numId w:val="2"/>
        </w:numPr>
      </w:pPr>
      <w:r w:rsidRPr="00D42722">
        <w:rPr>
          <w:b/>
          <w:bCs/>
        </w:rPr>
        <w:t>IPO活动：</w:t>
      </w:r>
      <w:r w:rsidRPr="00D42722">
        <w:t xml:space="preserve"> 相关行业出现密集的首次公开募股（IPO），且新股上市后往往受到市场狂热追捧。</w:t>
      </w:r>
    </w:p>
    <w:p w14:paraId="7315BF6F" w14:textId="77777777" w:rsidR="00D42722" w:rsidRPr="00D42722" w:rsidRDefault="00D42722" w:rsidP="00D42722">
      <w:pPr>
        <w:rPr>
          <w:b/>
          <w:bCs/>
        </w:rPr>
      </w:pPr>
      <w:r w:rsidRPr="00D42722">
        <w:rPr>
          <w:b/>
          <w:bCs/>
        </w:rPr>
        <w:t>阶段三：转折点 (Turning Point) - 泡沫的破裂</w:t>
      </w:r>
    </w:p>
    <w:p w14:paraId="245E0108" w14:textId="77777777" w:rsidR="00D42722" w:rsidRPr="00D42722" w:rsidRDefault="00D42722" w:rsidP="00D42722">
      <w:pPr>
        <w:numPr>
          <w:ilvl w:val="0"/>
          <w:numId w:val="3"/>
        </w:numPr>
      </w:pPr>
      <w:r w:rsidRPr="00D42722">
        <w:rPr>
          <w:b/>
          <w:bCs/>
        </w:rPr>
        <w:t>描述与特征：</w:t>
      </w:r>
      <w:r w:rsidRPr="00D42722">
        <w:t xml:space="preserve"> 这是不可避免的崩溃或剧烈调整期。当金融资产价格与实体经济的脱节达到极限，或宏观环境发生变化（如利率上升）时，泡沫破裂。市场情绪从贪婪急转为恐慌，资产价格暴跌。这个过程虽然痛苦，但它清除了市场中的投机者和竞争力弱的企业，为下一阶段的健康发展扫清了障碍 。   </w:t>
      </w:r>
    </w:p>
    <w:p w14:paraId="455A658D" w14:textId="77777777" w:rsidR="00D42722" w:rsidRPr="00D42722" w:rsidRDefault="00D42722" w:rsidP="00D42722">
      <w:pPr>
        <w:numPr>
          <w:ilvl w:val="0"/>
          <w:numId w:val="3"/>
        </w:numPr>
      </w:pPr>
      <w:r w:rsidRPr="00D42722">
        <w:rPr>
          <w:b/>
          <w:bCs/>
        </w:rPr>
        <w:t>资本与投资者行为：</w:t>
      </w:r>
      <w:r w:rsidRPr="00D42722">
        <w:t xml:space="preserve"> 金融资本遭受重创后迅速撤退，市场出现“向优质资产转移”（flight to quality）的现象。这是整个周期中一次关键的</w:t>
      </w:r>
      <w:r w:rsidRPr="00D42722">
        <w:rPr>
          <w:b/>
          <w:bCs/>
        </w:rPr>
        <w:t>权力转移</w:t>
      </w:r>
      <w:r w:rsidRPr="00D42722">
        <w:t>：幸存下来的、拥有</w:t>
      </w:r>
      <w:proofErr w:type="gramStart"/>
      <w:r w:rsidRPr="00D42722">
        <w:t>真实业务</w:t>
      </w:r>
      <w:proofErr w:type="gramEnd"/>
      <w:r w:rsidRPr="00D42722">
        <w:t xml:space="preserve">和核心技术的生产资本，能够以极低的价格收购破产企业的技术、资产和人才，行业进入整合期。金融资本的主导地位终结，开始回归服务于实体的角色 。   </w:t>
      </w:r>
    </w:p>
    <w:p w14:paraId="37F69D4D" w14:textId="77777777" w:rsidR="00D42722" w:rsidRPr="00D42722" w:rsidRDefault="00D42722" w:rsidP="00D42722">
      <w:pPr>
        <w:numPr>
          <w:ilvl w:val="0"/>
          <w:numId w:val="3"/>
        </w:numPr>
      </w:pPr>
      <w:r w:rsidRPr="00D42722">
        <w:rPr>
          <w:b/>
          <w:bCs/>
        </w:rPr>
        <w:t>数据信号监测：</w:t>
      </w:r>
    </w:p>
    <w:p w14:paraId="0AFD6CF7" w14:textId="77777777" w:rsidR="00D42722" w:rsidRPr="00D42722" w:rsidRDefault="00D42722" w:rsidP="00D42722">
      <w:pPr>
        <w:numPr>
          <w:ilvl w:val="1"/>
          <w:numId w:val="3"/>
        </w:numPr>
      </w:pPr>
      <w:r w:rsidRPr="00D42722">
        <w:rPr>
          <w:b/>
          <w:bCs/>
        </w:rPr>
        <w:t>市场大幅回调：</w:t>
      </w:r>
      <w:r w:rsidRPr="00D42722">
        <w:t xml:space="preserve"> 主要股指，尤其是科技板块，出现超过20%甚至更大幅度的下跌。</w:t>
      </w:r>
    </w:p>
    <w:p w14:paraId="3749F8FA" w14:textId="77777777" w:rsidR="00D42722" w:rsidRPr="00D42722" w:rsidRDefault="00D42722" w:rsidP="00D42722">
      <w:pPr>
        <w:numPr>
          <w:ilvl w:val="1"/>
          <w:numId w:val="3"/>
        </w:numPr>
      </w:pPr>
      <w:r w:rsidRPr="00D42722">
        <w:rPr>
          <w:b/>
          <w:bCs/>
        </w:rPr>
        <w:t>信贷环境收紧：</w:t>
      </w:r>
      <w:r w:rsidRPr="00D42722">
        <w:t xml:space="preserve"> 企业信用利差急剧扩大，风险投资活动断崖式下跌。</w:t>
      </w:r>
    </w:p>
    <w:p w14:paraId="2BE15FF8" w14:textId="77777777" w:rsidR="00D42722" w:rsidRPr="00D42722" w:rsidRDefault="00D42722" w:rsidP="00D42722">
      <w:pPr>
        <w:numPr>
          <w:ilvl w:val="1"/>
          <w:numId w:val="3"/>
        </w:numPr>
      </w:pPr>
      <w:r w:rsidRPr="00D42722">
        <w:rPr>
          <w:b/>
          <w:bCs/>
        </w:rPr>
        <w:t>叙事转变：</w:t>
      </w:r>
      <w:r w:rsidRPr="00D42722">
        <w:t xml:space="preserve"> 媒体和市场的叙事从“新范式、新时代”转变为对“骗局、丑闻和失败”的反思和批判。</w:t>
      </w:r>
    </w:p>
    <w:p w14:paraId="002B7C13" w14:textId="77777777" w:rsidR="00D42722" w:rsidRPr="00D42722" w:rsidRDefault="00D42722" w:rsidP="00D42722">
      <w:pPr>
        <w:rPr>
          <w:b/>
          <w:bCs/>
        </w:rPr>
      </w:pPr>
      <w:r w:rsidRPr="00D42722">
        <w:rPr>
          <w:b/>
          <w:bCs/>
        </w:rPr>
        <w:t>阶段四：协同阶段 (Synergy) - “黄金时代”</w:t>
      </w:r>
    </w:p>
    <w:p w14:paraId="1F438340" w14:textId="77777777" w:rsidR="00D42722" w:rsidRPr="00D42722" w:rsidRDefault="00D42722" w:rsidP="00D42722">
      <w:pPr>
        <w:numPr>
          <w:ilvl w:val="0"/>
          <w:numId w:val="4"/>
        </w:numPr>
      </w:pPr>
      <w:r w:rsidRPr="00D42722">
        <w:rPr>
          <w:b/>
          <w:bCs/>
        </w:rPr>
        <w:t>描述与特征：</w:t>
      </w:r>
      <w:r w:rsidRPr="00D42722">
        <w:t xml:space="preserve"> 经过转折点的洗礼，技术变得成熟、可靠且成本低廉，得以在整个经济体系中大规模部署，带来基础广泛的生产力提升。佩雷丝将此阶段称为“黄金时代”，是金融资本与生产资本“幸福联姻”的时期 。新技术成为社会经济运行的“新常态”和最佳实践，经济增长稳健，创新成果惠及更广泛的社会阶层。   </w:t>
      </w:r>
    </w:p>
    <w:p w14:paraId="7C0EF761" w14:textId="77777777" w:rsidR="00D42722" w:rsidRPr="00D42722" w:rsidRDefault="00D42722" w:rsidP="00D42722">
      <w:pPr>
        <w:numPr>
          <w:ilvl w:val="0"/>
          <w:numId w:val="4"/>
        </w:numPr>
      </w:pPr>
      <w:r w:rsidRPr="00D42722">
        <w:rPr>
          <w:b/>
          <w:bCs/>
        </w:rPr>
        <w:t>资本与投资者行为：</w:t>
      </w:r>
      <w:r w:rsidRPr="00D42722">
        <w:t xml:space="preserve"> 生产资本在这一阶段占据主导地位，专注于市场扩张、运营效率和稳定的盈利增长。金融资本则扮演着支持性的服务角色，为实体经济的扩张提供规范化的融资渠道。投资逻辑回归基本面，侧重于企业的内在价值、现金流和股东回报 。   </w:t>
      </w:r>
    </w:p>
    <w:p w14:paraId="65353740" w14:textId="77777777" w:rsidR="00D42722" w:rsidRPr="00D42722" w:rsidRDefault="00D42722" w:rsidP="00D42722">
      <w:pPr>
        <w:numPr>
          <w:ilvl w:val="0"/>
          <w:numId w:val="4"/>
        </w:numPr>
      </w:pPr>
      <w:r w:rsidRPr="00D42722">
        <w:rPr>
          <w:b/>
          <w:bCs/>
        </w:rPr>
        <w:t>数据信号监测：</w:t>
      </w:r>
    </w:p>
    <w:p w14:paraId="45958B8F" w14:textId="77777777" w:rsidR="00D42722" w:rsidRPr="00D42722" w:rsidRDefault="00D42722" w:rsidP="00D42722">
      <w:pPr>
        <w:numPr>
          <w:ilvl w:val="1"/>
          <w:numId w:val="4"/>
        </w:numPr>
      </w:pPr>
      <w:r w:rsidRPr="00D42722">
        <w:rPr>
          <w:b/>
          <w:bCs/>
        </w:rPr>
        <w:t>广泛的生产力增长：</w:t>
      </w:r>
      <w:r w:rsidRPr="00D42722">
        <w:t xml:space="preserve"> 生产力提升不再局限于科技行业，而是扩散到制造业、服务业等多个传统领域。对AI驱动的生产力增长的预测表明，其</w:t>
      </w:r>
      <w:proofErr w:type="gramStart"/>
      <w:r w:rsidRPr="00D42722">
        <w:t>年化贡献</w:t>
      </w:r>
      <w:proofErr w:type="gramEnd"/>
      <w:r w:rsidRPr="00D42722">
        <w:t xml:space="preserve">可达0.5-0.9% 。   </w:t>
      </w:r>
    </w:p>
    <w:p w14:paraId="1517C9B7" w14:textId="77777777" w:rsidR="00D42722" w:rsidRPr="00D42722" w:rsidRDefault="00D42722" w:rsidP="00D42722">
      <w:pPr>
        <w:numPr>
          <w:ilvl w:val="1"/>
          <w:numId w:val="4"/>
        </w:numPr>
      </w:pPr>
      <w:r w:rsidRPr="00D42722">
        <w:rPr>
          <w:b/>
          <w:bCs/>
        </w:rPr>
        <w:t>行业格局稳定：</w:t>
      </w:r>
      <w:r w:rsidRPr="00D42722">
        <w:t xml:space="preserve"> 市场竞争趋于缓和，行业内形成少数几家巨头主导的寡头垄断格局。</w:t>
      </w:r>
    </w:p>
    <w:p w14:paraId="4CA22003" w14:textId="77777777" w:rsidR="00D42722" w:rsidRPr="00D42722" w:rsidRDefault="00D42722" w:rsidP="00D42722">
      <w:pPr>
        <w:numPr>
          <w:ilvl w:val="1"/>
          <w:numId w:val="4"/>
        </w:numPr>
      </w:pPr>
      <w:r w:rsidRPr="00D42722">
        <w:rPr>
          <w:b/>
          <w:bCs/>
        </w:rPr>
        <w:t>投资回报来源：</w:t>
      </w:r>
      <w:r w:rsidRPr="00D42722">
        <w:t xml:space="preserve"> 股价上涨更多由盈利增长（EPS Growth）驱动，而非估值扩张（PE Expansion）。分析</w:t>
      </w:r>
      <w:proofErr w:type="gramStart"/>
      <w:r w:rsidRPr="00D42722">
        <w:t>师报告</w:t>
      </w:r>
      <w:proofErr w:type="gramEnd"/>
      <w:r w:rsidRPr="00D42722">
        <w:t>的焦点转向投入资本回报率（ROIC）、自由现金流和股息政策。</w:t>
      </w:r>
    </w:p>
    <w:p w14:paraId="02B2E537" w14:textId="77777777" w:rsidR="00D42722" w:rsidRPr="00D42722" w:rsidRDefault="00D42722" w:rsidP="00D42722">
      <w:pPr>
        <w:rPr>
          <w:b/>
          <w:bCs/>
        </w:rPr>
      </w:pPr>
      <w:r w:rsidRPr="00D42722">
        <w:rPr>
          <w:b/>
          <w:bCs/>
        </w:rPr>
        <w:t>阶段五：成熟阶段 (Maturity) - 机会的衰减</w:t>
      </w:r>
    </w:p>
    <w:p w14:paraId="24102575" w14:textId="77777777" w:rsidR="00D42722" w:rsidRPr="00D42722" w:rsidRDefault="00D42722" w:rsidP="00D42722">
      <w:pPr>
        <w:numPr>
          <w:ilvl w:val="0"/>
          <w:numId w:val="5"/>
        </w:numPr>
      </w:pPr>
      <w:r w:rsidRPr="00D42722">
        <w:rPr>
          <w:b/>
          <w:bCs/>
        </w:rPr>
        <w:t>描述与特征：</w:t>
      </w:r>
      <w:r w:rsidRPr="00D42722">
        <w:t xml:space="preserve"> 新技术的市场渗透率趋于饱和，相关产业的增长速度显著放缓，降至与整体经济增速相当的水平。核心技术的创新停滞，重点转向渐进式改良或细分应用。旧的技术</w:t>
      </w:r>
      <w:proofErr w:type="gramStart"/>
      <w:r w:rsidRPr="00D42722">
        <w:t>范式潜力</w:t>
      </w:r>
      <w:proofErr w:type="gramEnd"/>
      <w:r w:rsidRPr="00D42722">
        <w:t xml:space="preserve">基本耗尽，为下一轮技术革命的萌芽创造了条件 。   </w:t>
      </w:r>
    </w:p>
    <w:p w14:paraId="1A79AF02" w14:textId="77777777" w:rsidR="00D42722" w:rsidRPr="00D42722" w:rsidRDefault="00D42722" w:rsidP="00D42722">
      <w:pPr>
        <w:numPr>
          <w:ilvl w:val="0"/>
          <w:numId w:val="5"/>
        </w:numPr>
      </w:pPr>
      <w:r w:rsidRPr="00D42722">
        <w:rPr>
          <w:b/>
          <w:bCs/>
        </w:rPr>
        <w:t>资本与投资者行为：</w:t>
      </w:r>
      <w:r w:rsidRPr="00D42722">
        <w:t xml:space="preserve"> 投资风格转向防御性，追求稳定的现金流和股息回报。聪明的</w:t>
      </w:r>
      <w:r w:rsidRPr="00D42722">
        <w:lastRenderedPageBreak/>
        <w:t>资本开始从成熟的产业中撤出，寻找处于“导入期”的下一个颠覆性技术，开启新一轮的周期。</w:t>
      </w:r>
    </w:p>
    <w:p w14:paraId="493B9E5E" w14:textId="77777777" w:rsidR="00D42722" w:rsidRPr="00D42722" w:rsidRDefault="00D42722" w:rsidP="00D42722">
      <w:pPr>
        <w:numPr>
          <w:ilvl w:val="0"/>
          <w:numId w:val="5"/>
        </w:numPr>
      </w:pPr>
      <w:r w:rsidRPr="00D42722">
        <w:rPr>
          <w:b/>
          <w:bCs/>
        </w:rPr>
        <w:t>数据信号监测：</w:t>
      </w:r>
    </w:p>
    <w:p w14:paraId="0F37504C" w14:textId="77777777" w:rsidR="00D42722" w:rsidRPr="00D42722" w:rsidRDefault="00D42722" w:rsidP="00D42722">
      <w:pPr>
        <w:numPr>
          <w:ilvl w:val="1"/>
          <w:numId w:val="5"/>
        </w:numPr>
      </w:pPr>
      <w:r w:rsidRPr="00D42722">
        <w:rPr>
          <w:b/>
          <w:bCs/>
        </w:rPr>
        <w:t>龙头企业增长放缓：</w:t>
      </w:r>
      <w:r w:rsidRPr="00D42722">
        <w:t xml:space="preserve"> 行业领导者的收入和利润增长率持续下降。</w:t>
      </w:r>
    </w:p>
    <w:p w14:paraId="58102669" w14:textId="77777777" w:rsidR="00D42722" w:rsidRPr="00D42722" w:rsidRDefault="00D42722" w:rsidP="00D42722">
      <w:pPr>
        <w:numPr>
          <w:ilvl w:val="1"/>
          <w:numId w:val="5"/>
        </w:numPr>
      </w:pPr>
      <w:r w:rsidRPr="00D42722">
        <w:rPr>
          <w:b/>
          <w:bCs/>
        </w:rPr>
        <w:t>市场渗透率见顶：</w:t>
      </w:r>
      <w:r w:rsidRPr="00D42722">
        <w:t xml:space="preserve"> 关键产品或服务的市场渗透率曲线进入平坦区。</w:t>
      </w:r>
    </w:p>
    <w:p w14:paraId="7E9E69D3" w14:textId="77777777" w:rsidR="00D42722" w:rsidRPr="00D42722" w:rsidRDefault="00D42722" w:rsidP="00D42722">
      <w:pPr>
        <w:numPr>
          <w:ilvl w:val="1"/>
          <w:numId w:val="5"/>
        </w:numPr>
      </w:pPr>
      <w:r w:rsidRPr="00D42722">
        <w:rPr>
          <w:b/>
          <w:bCs/>
        </w:rPr>
        <w:t>并购活动性质改变：</w:t>
      </w:r>
      <w:r w:rsidRPr="00D42722">
        <w:t xml:space="preserve"> 行业内的并购更多是出于整合和削减成本，而非追求新的增长点。</w:t>
      </w:r>
    </w:p>
    <w:p w14:paraId="1E4EC222" w14:textId="77777777" w:rsidR="00D42722" w:rsidRPr="00D42722" w:rsidRDefault="00D42722" w:rsidP="00D42722">
      <w:pPr>
        <w:rPr>
          <w:b/>
          <w:bCs/>
        </w:rPr>
      </w:pPr>
      <w:r w:rsidRPr="00D42722">
        <w:rPr>
          <w:b/>
          <w:bCs/>
        </w:rPr>
        <w:t>1.2 双速革命</w:t>
      </w:r>
    </w:p>
    <w:p w14:paraId="4E7A5D34" w14:textId="77777777" w:rsidR="00D42722" w:rsidRPr="00D42722" w:rsidRDefault="00D42722" w:rsidP="00D42722">
      <w:r w:rsidRPr="00D42722">
        <w:t>在应用佩雷丝的周期模型时，一个至关重要的洞察是：不同的技术革命并非步调一致，它们可以同时存在于不同的发展阶段，形成一种“双速革命”的格局。忽视这一点，将导致投资者用单一的、不恰当的尺子去衡量所有技术领域。</w:t>
      </w:r>
    </w:p>
    <w:p w14:paraId="47567F56" w14:textId="77777777" w:rsidR="00D42722" w:rsidRPr="00D42722" w:rsidRDefault="00D42722" w:rsidP="00D42722">
      <w:r w:rsidRPr="00D42722">
        <w:t>当前的市场正是这种格局的完美体现。一方面，以可再生能源为代表的</w:t>
      </w:r>
      <w:r w:rsidRPr="00D42722">
        <w:rPr>
          <w:b/>
          <w:bCs/>
        </w:rPr>
        <w:t>绿色技术革命</w:t>
      </w:r>
      <w:r w:rsidRPr="00D42722">
        <w:t>，其投资和发展模式已展现出“部署阶段”的特征。2024年，全球对能源转型的投资达到了创纪录的2.1</w:t>
      </w:r>
      <w:proofErr w:type="gramStart"/>
      <w:r w:rsidRPr="00D42722">
        <w:t>万亿</w:t>
      </w:r>
      <w:proofErr w:type="gramEnd"/>
      <w:r w:rsidRPr="00D42722">
        <w:t xml:space="preserve">美元，资金大规模流向太阳能、风能、电网和电动汽车等相对成熟、可以大规模部署的领域 。这表明资本正以一种类似成熟产业的、注重规模化部署的方式参与其中。然而，同属绿色革命，但技术上更为前沿的领域，如绿色氢能和碳捕获技术，其投资额在去年反而下降了23% 。   </w:t>
      </w:r>
    </w:p>
    <w:p w14:paraId="5C5FF236" w14:textId="77777777" w:rsidR="00D42722" w:rsidRPr="00D42722" w:rsidRDefault="00D42722" w:rsidP="00D42722">
      <w:r w:rsidRPr="00D42722">
        <w:t>另一方面，以生成式人工智能为核心的</w:t>
      </w:r>
      <w:r w:rsidRPr="00D42722">
        <w:rPr>
          <w:b/>
          <w:bCs/>
        </w:rPr>
        <w:t>AI革命</w:t>
      </w:r>
      <w:r w:rsidRPr="00D42722">
        <w:t>，则清晰地处于“狂热阶段”。2024年，仅在美国，与AI相关的风险投资额就高达970亿美元，占据了VC总投资的近半壁江山 。这种资本的狂热追捧、对</w:t>
      </w:r>
      <w:proofErr w:type="gramStart"/>
      <w:r w:rsidRPr="00D42722">
        <w:t>未来愿景的</w:t>
      </w:r>
      <w:proofErr w:type="gramEnd"/>
      <w:r w:rsidRPr="00D42722">
        <w:t xml:space="preserve">极高估值以及弥漫市场的兴奋情绪，都是“狂热期”的典型标志。   </w:t>
      </w:r>
    </w:p>
    <w:p w14:paraId="67DBF800" w14:textId="77777777" w:rsidR="00D42722" w:rsidRPr="00D42722" w:rsidRDefault="00D42722" w:rsidP="00D42722">
      <w:r w:rsidRPr="00D42722">
        <w:t>这种“双速”并存的局面要求投资者具备高度的辨识力。不能简单地将所有“科技股”归为一类。对于处于部署阶段的绿色能源领域，投资逻辑更侧重于项目融资、基础设施建设和稳定的现金流回报。而对于处于狂热阶段的AI领域，投资策略则更接近于风险投资，需要接受高波动性，并聚焦于那些可能在泡沫破裂后幸存并最终主导市场的核心技术平台。这种差异化的认知，是将宏观周期理论转化为精准投资策略的关键。</w:t>
      </w:r>
    </w:p>
    <w:p w14:paraId="7CC617E6" w14:textId="77777777" w:rsidR="00D42722" w:rsidRPr="00D42722" w:rsidRDefault="00D42722" w:rsidP="00D42722">
      <w:r w:rsidRPr="00D42722">
        <w:t>为了将这一战略地图固化为可操作的工具，下表系统性地总结了技术革命五个阶段的核心特征与相应的投资者行动手册。</w:t>
      </w:r>
    </w:p>
    <w:p w14:paraId="568FD514" w14:textId="77777777" w:rsidR="00D42722" w:rsidRPr="00D42722" w:rsidRDefault="00D42722" w:rsidP="00D42722">
      <w:pPr>
        <w:rPr>
          <w:b/>
          <w:bCs/>
        </w:rPr>
      </w:pPr>
      <w:r w:rsidRPr="00D42722">
        <w:rPr>
          <w:b/>
          <w:bCs/>
        </w:rPr>
        <w:t>表1：技术革命五阶段：投资者行动手册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1049"/>
        <w:gridCol w:w="1150"/>
        <w:gridCol w:w="859"/>
        <w:gridCol w:w="949"/>
        <w:gridCol w:w="1539"/>
        <w:gridCol w:w="1598"/>
      </w:tblGrid>
      <w:tr w:rsidR="00D42722" w:rsidRPr="00D42722" w14:paraId="0528EDC2" w14:textId="77777777" w:rsidTr="00D42722">
        <w:trPr>
          <w:tblHeader/>
          <w:tblCellSpacing w:w="15" w:type="dxa"/>
        </w:trPr>
        <w:tc>
          <w:tcPr>
            <w:tcW w:w="0" w:type="auto"/>
            <w:vAlign w:val="center"/>
            <w:hideMark/>
          </w:tcPr>
          <w:p w14:paraId="66EE4A49" w14:textId="77777777" w:rsidR="00D42722" w:rsidRPr="00D42722" w:rsidRDefault="00D42722" w:rsidP="00D42722">
            <w:r w:rsidRPr="00D42722">
              <w:t>阶段</w:t>
            </w:r>
          </w:p>
        </w:tc>
        <w:tc>
          <w:tcPr>
            <w:tcW w:w="0" w:type="auto"/>
            <w:vAlign w:val="center"/>
            <w:hideMark/>
          </w:tcPr>
          <w:p w14:paraId="5EA4D38B" w14:textId="77777777" w:rsidR="00D42722" w:rsidRPr="00D42722" w:rsidRDefault="00D42722" w:rsidP="00D42722">
            <w:r w:rsidRPr="00D42722">
              <w:t>核心特征</w:t>
            </w:r>
          </w:p>
        </w:tc>
        <w:tc>
          <w:tcPr>
            <w:tcW w:w="0" w:type="auto"/>
            <w:vAlign w:val="center"/>
            <w:hideMark/>
          </w:tcPr>
          <w:p w14:paraId="74547374" w14:textId="77777777" w:rsidR="00D42722" w:rsidRPr="00D42722" w:rsidRDefault="00D42722" w:rsidP="00D42722">
            <w:r w:rsidRPr="00D42722">
              <w:t>主导资本类型</w:t>
            </w:r>
          </w:p>
        </w:tc>
        <w:tc>
          <w:tcPr>
            <w:tcW w:w="0" w:type="auto"/>
            <w:vAlign w:val="center"/>
            <w:hideMark/>
          </w:tcPr>
          <w:p w14:paraId="66DE21EC" w14:textId="77777777" w:rsidR="00D42722" w:rsidRPr="00D42722" w:rsidRDefault="00D42722" w:rsidP="00D42722">
            <w:r w:rsidRPr="00D42722">
              <w:t>市场情绪</w:t>
            </w:r>
          </w:p>
        </w:tc>
        <w:tc>
          <w:tcPr>
            <w:tcW w:w="0" w:type="auto"/>
            <w:vAlign w:val="center"/>
            <w:hideMark/>
          </w:tcPr>
          <w:p w14:paraId="72C85371" w14:textId="77777777" w:rsidR="00D42722" w:rsidRPr="00D42722" w:rsidRDefault="00D42722" w:rsidP="00D42722">
            <w:r w:rsidRPr="00D42722">
              <w:t>关键风险</w:t>
            </w:r>
          </w:p>
        </w:tc>
        <w:tc>
          <w:tcPr>
            <w:tcW w:w="0" w:type="auto"/>
            <w:vAlign w:val="center"/>
            <w:hideMark/>
          </w:tcPr>
          <w:p w14:paraId="0A3607CC" w14:textId="77777777" w:rsidR="00D42722" w:rsidRPr="00D42722" w:rsidRDefault="00D42722" w:rsidP="00D42722">
            <w:r w:rsidRPr="00D42722">
              <w:t>最佳投资风格</w:t>
            </w:r>
          </w:p>
        </w:tc>
        <w:tc>
          <w:tcPr>
            <w:tcW w:w="0" w:type="auto"/>
            <w:vAlign w:val="center"/>
            <w:hideMark/>
          </w:tcPr>
          <w:p w14:paraId="55D5C665" w14:textId="77777777" w:rsidR="00D42722" w:rsidRPr="00D42722" w:rsidRDefault="00D42722" w:rsidP="00D42722">
            <w:r w:rsidRPr="00D42722">
              <w:t>关键估值指标</w:t>
            </w:r>
          </w:p>
        </w:tc>
      </w:tr>
      <w:tr w:rsidR="00D42722" w:rsidRPr="00D42722" w14:paraId="4B8B9D43" w14:textId="77777777" w:rsidTr="00D42722">
        <w:trPr>
          <w:tblCellSpacing w:w="15" w:type="dxa"/>
        </w:trPr>
        <w:tc>
          <w:tcPr>
            <w:tcW w:w="0" w:type="auto"/>
            <w:vAlign w:val="center"/>
            <w:hideMark/>
          </w:tcPr>
          <w:p w14:paraId="0E35CF85" w14:textId="77777777" w:rsidR="00D42722" w:rsidRPr="00D42722" w:rsidRDefault="00D42722" w:rsidP="00D42722">
            <w:r w:rsidRPr="00D42722">
              <w:rPr>
                <w:b/>
                <w:bCs/>
              </w:rPr>
              <w:t>导入期 (Irruption)</w:t>
            </w:r>
          </w:p>
        </w:tc>
        <w:tc>
          <w:tcPr>
            <w:tcW w:w="0" w:type="auto"/>
            <w:vAlign w:val="center"/>
            <w:hideMark/>
          </w:tcPr>
          <w:p w14:paraId="4166E2F4" w14:textId="77777777" w:rsidR="00D42722" w:rsidRPr="00D42722" w:rsidRDefault="00D42722" w:rsidP="00D42722">
            <w:r w:rsidRPr="00D42722">
              <w:t>新技术萌芽，高不确定性，新旧范式并存，竞争激烈，局部繁荣。</w:t>
            </w:r>
          </w:p>
        </w:tc>
        <w:tc>
          <w:tcPr>
            <w:tcW w:w="0" w:type="auto"/>
            <w:vAlign w:val="center"/>
            <w:hideMark/>
          </w:tcPr>
          <w:p w14:paraId="231D88FA" w14:textId="77777777" w:rsidR="00D42722" w:rsidRPr="00D42722" w:rsidRDefault="00D42722" w:rsidP="00D42722">
            <w:r w:rsidRPr="00D42722">
              <w:t>风险偏好高的金融资本（VC、天使投资）。</w:t>
            </w:r>
          </w:p>
        </w:tc>
        <w:tc>
          <w:tcPr>
            <w:tcW w:w="0" w:type="auto"/>
            <w:vAlign w:val="center"/>
            <w:hideMark/>
          </w:tcPr>
          <w:p w14:paraId="3F1CAC99" w14:textId="77777777" w:rsidR="00D42722" w:rsidRPr="00D42722" w:rsidRDefault="00D42722" w:rsidP="00D42722">
            <w:r w:rsidRPr="00D42722">
              <w:t>市场关注度低，仅少数专家和早期采用者乐观。</w:t>
            </w:r>
          </w:p>
        </w:tc>
        <w:tc>
          <w:tcPr>
            <w:tcW w:w="0" w:type="auto"/>
            <w:vAlign w:val="center"/>
            <w:hideMark/>
          </w:tcPr>
          <w:p w14:paraId="4A1631E3" w14:textId="77777777" w:rsidR="00D42722" w:rsidRPr="00D42722" w:rsidRDefault="00D42722" w:rsidP="00D42722">
            <w:r w:rsidRPr="00D42722">
              <w:t>技术失败风险、商业模式不成立风险、高失败率。</w:t>
            </w:r>
          </w:p>
        </w:tc>
        <w:tc>
          <w:tcPr>
            <w:tcW w:w="0" w:type="auto"/>
            <w:vAlign w:val="center"/>
            <w:hideMark/>
          </w:tcPr>
          <w:p w14:paraId="5084B62B" w14:textId="77777777" w:rsidR="00D42722" w:rsidRPr="00D42722" w:rsidRDefault="00D42722" w:rsidP="00D42722">
            <w:r w:rsidRPr="00D42722">
              <w:t>成长型/风险投资。小额、分散化布局，押</w:t>
            </w:r>
            <w:proofErr w:type="gramStart"/>
            <w:r w:rsidRPr="00D42722">
              <w:t>注未来</w:t>
            </w:r>
            <w:proofErr w:type="gramEnd"/>
            <w:r w:rsidRPr="00D42722">
              <w:t>赢家。</w:t>
            </w:r>
          </w:p>
        </w:tc>
        <w:tc>
          <w:tcPr>
            <w:tcW w:w="0" w:type="auto"/>
            <w:vAlign w:val="center"/>
            <w:hideMark/>
          </w:tcPr>
          <w:p w14:paraId="0E4D6E42" w14:textId="77777777" w:rsidR="00D42722" w:rsidRPr="00D42722" w:rsidRDefault="00D42722" w:rsidP="00D42722">
            <w:r w:rsidRPr="00D42722">
              <w:t>市场空间（TAM）、技术里程碑、团队背景、用户/客户反馈。</w:t>
            </w:r>
          </w:p>
        </w:tc>
      </w:tr>
      <w:tr w:rsidR="00D42722" w:rsidRPr="00D42722" w14:paraId="7E0E01B7" w14:textId="77777777" w:rsidTr="00D42722">
        <w:trPr>
          <w:tblCellSpacing w:w="15" w:type="dxa"/>
        </w:trPr>
        <w:tc>
          <w:tcPr>
            <w:tcW w:w="0" w:type="auto"/>
            <w:vAlign w:val="center"/>
            <w:hideMark/>
          </w:tcPr>
          <w:p w14:paraId="461CF186" w14:textId="77777777" w:rsidR="00D42722" w:rsidRPr="00D42722" w:rsidRDefault="00D42722" w:rsidP="00D42722">
            <w:r w:rsidRPr="00D42722">
              <w:rPr>
                <w:b/>
                <w:bCs/>
              </w:rPr>
              <w:t>狂热期 (Frenzy)</w:t>
            </w:r>
          </w:p>
        </w:tc>
        <w:tc>
          <w:tcPr>
            <w:tcW w:w="0" w:type="auto"/>
            <w:vAlign w:val="center"/>
            <w:hideMark/>
          </w:tcPr>
          <w:p w14:paraId="5F6A87E1" w14:textId="77777777" w:rsidR="00D42722" w:rsidRPr="00D42722" w:rsidRDefault="00D42722" w:rsidP="00D42722">
            <w:r w:rsidRPr="00D42722">
              <w:t>预期极度乐观，资产价格泡沫化，金融与实体脱节，全民投机。</w:t>
            </w:r>
          </w:p>
        </w:tc>
        <w:tc>
          <w:tcPr>
            <w:tcW w:w="0" w:type="auto"/>
            <w:vAlign w:val="center"/>
            <w:hideMark/>
          </w:tcPr>
          <w:p w14:paraId="14EBB9A7" w14:textId="77777777" w:rsidR="00D42722" w:rsidRPr="00D42722" w:rsidRDefault="00D42722" w:rsidP="00D42722">
            <w:r w:rsidRPr="00D42722">
              <w:t>投机性金融资本占据绝对主导。</w:t>
            </w:r>
          </w:p>
        </w:tc>
        <w:tc>
          <w:tcPr>
            <w:tcW w:w="0" w:type="auto"/>
            <w:vAlign w:val="center"/>
            <w:hideMark/>
          </w:tcPr>
          <w:p w14:paraId="323DF943" w14:textId="77777777" w:rsidR="00D42722" w:rsidRPr="00D42722" w:rsidRDefault="00D42722" w:rsidP="00D42722">
            <w:r w:rsidRPr="00D42722">
              <w:t>极度贪婪，非理性繁荣，媒体热炒。</w:t>
            </w:r>
          </w:p>
        </w:tc>
        <w:tc>
          <w:tcPr>
            <w:tcW w:w="0" w:type="auto"/>
            <w:vAlign w:val="center"/>
            <w:hideMark/>
          </w:tcPr>
          <w:p w14:paraId="0E903EA8" w14:textId="77777777" w:rsidR="00D42722" w:rsidRPr="00D42722" w:rsidRDefault="00D42722" w:rsidP="00D42722">
            <w:r w:rsidRPr="00D42722">
              <w:t>估值泡沫破裂风险、政策突然收紧风险、羊群效应导</w:t>
            </w:r>
            <w:r w:rsidRPr="00D42722">
              <w:lastRenderedPageBreak/>
              <w:t>致的踩踏。</w:t>
            </w:r>
          </w:p>
        </w:tc>
        <w:tc>
          <w:tcPr>
            <w:tcW w:w="0" w:type="auto"/>
            <w:vAlign w:val="center"/>
            <w:hideMark/>
          </w:tcPr>
          <w:p w14:paraId="4EC0792A" w14:textId="77777777" w:rsidR="00D42722" w:rsidRPr="00D42722" w:rsidRDefault="00D42722" w:rsidP="00D42722">
            <w:r w:rsidRPr="00D42722">
              <w:lastRenderedPageBreak/>
              <w:t>趋势投资/动量交易。对已有</w:t>
            </w:r>
            <w:proofErr w:type="gramStart"/>
            <w:r w:rsidRPr="00D42722">
              <w:t>仓位</w:t>
            </w:r>
            <w:proofErr w:type="gramEnd"/>
            <w:r w:rsidRPr="00D42722">
              <w:t>应考虑分批止盈，严格风控。</w:t>
            </w:r>
          </w:p>
        </w:tc>
        <w:tc>
          <w:tcPr>
            <w:tcW w:w="0" w:type="auto"/>
            <w:vAlign w:val="center"/>
            <w:hideMark/>
          </w:tcPr>
          <w:p w14:paraId="48F51AB2" w14:textId="77777777" w:rsidR="00D42722" w:rsidRPr="00D42722" w:rsidRDefault="00D42722" w:rsidP="00D42722">
            <w:r w:rsidRPr="00D42722">
              <w:t>用户增长率、点击量、“眼球经济”等叙事指标，传统估值失效。</w:t>
            </w:r>
          </w:p>
        </w:tc>
      </w:tr>
      <w:tr w:rsidR="00D42722" w:rsidRPr="00D42722" w14:paraId="7A7751BE" w14:textId="77777777" w:rsidTr="00D42722">
        <w:trPr>
          <w:tblCellSpacing w:w="15" w:type="dxa"/>
        </w:trPr>
        <w:tc>
          <w:tcPr>
            <w:tcW w:w="0" w:type="auto"/>
            <w:vAlign w:val="center"/>
            <w:hideMark/>
          </w:tcPr>
          <w:p w14:paraId="7A64CEA0" w14:textId="77777777" w:rsidR="00D42722" w:rsidRPr="00D42722" w:rsidRDefault="00D42722" w:rsidP="00D42722">
            <w:r w:rsidRPr="00D42722">
              <w:rPr>
                <w:b/>
                <w:bCs/>
              </w:rPr>
              <w:t>转折点 (Turning Point)</w:t>
            </w:r>
          </w:p>
        </w:tc>
        <w:tc>
          <w:tcPr>
            <w:tcW w:w="0" w:type="auto"/>
            <w:vAlign w:val="center"/>
            <w:hideMark/>
          </w:tcPr>
          <w:p w14:paraId="0857C7CA" w14:textId="77777777" w:rsidR="00D42722" w:rsidRPr="00D42722" w:rsidRDefault="00D42722" w:rsidP="00D42722">
            <w:r w:rsidRPr="00D42722">
              <w:t>泡沫破裂，经济衰退或萧条，市场信心崩溃，制度重构开始。</w:t>
            </w:r>
          </w:p>
        </w:tc>
        <w:tc>
          <w:tcPr>
            <w:tcW w:w="0" w:type="auto"/>
            <w:vAlign w:val="center"/>
            <w:hideMark/>
          </w:tcPr>
          <w:p w14:paraId="2A984702" w14:textId="77777777" w:rsidR="00D42722" w:rsidRPr="00D42722" w:rsidRDefault="00D42722" w:rsidP="00D42722">
            <w:r w:rsidRPr="00D42722">
              <w:t>资本风险偏好骤降，生产资本开始整合行业，重获主导权。</w:t>
            </w:r>
          </w:p>
        </w:tc>
        <w:tc>
          <w:tcPr>
            <w:tcW w:w="0" w:type="auto"/>
            <w:vAlign w:val="center"/>
            <w:hideMark/>
          </w:tcPr>
          <w:p w14:paraId="2EE8DB2A" w14:textId="77777777" w:rsidR="00D42722" w:rsidRPr="00D42722" w:rsidRDefault="00D42722" w:rsidP="00D42722">
            <w:r w:rsidRPr="00D42722">
              <w:t>极度恐慌，非理性抛售，对所有相关资产失去信心。</w:t>
            </w:r>
          </w:p>
        </w:tc>
        <w:tc>
          <w:tcPr>
            <w:tcW w:w="0" w:type="auto"/>
            <w:vAlign w:val="center"/>
            <w:hideMark/>
          </w:tcPr>
          <w:p w14:paraId="362CA004" w14:textId="77777777" w:rsidR="00D42722" w:rsidRPr="00D42722" w:rsidRDefault="00D42722" w:rsidP="00D42722">
            <w:r w:rsidRPr="00D42722">
              <w:t>流动性枯竭风险、优质资产被错杀后继续下跌的风险。</w:t>
            </w:r>
          </w:p>
        </w:tc>
        <w:tc>
          <w:tcPr>
            <w:tcW w:w="0" w:type="auto"/>
            <w:vAlign w:val="center"/>
            <w:hideMark/>
          </w:tcPr>
          <w:p w14:paraId="69039769" w14:textId="77777777" w:rsidR="00D42722" w:rsidRPr="00D42722" w:rsidRDefault="00D42722" w:rsidP="00D42722">
            <w:r w:rsidRPr="00D42722">
              <w:t>逆向投资/价值投资。在市场恐慌时，战略性布局幸存的优质龙头。</w:t>
            </w:r>
          </w:p>
        </w:tc>
        <w:tc>
          <w:tcPr>
            <w:tcW w:w="0" w:type="auto"/>
            <w:vAlign w:val="center"/>
            <w:hideMark/>
          </w:tcPr>
          <w:p w14:paraId="49D48ECE" w14:textId="77777777" w:rsidR="00D42722" w:rsidRPr="00D42722" w:rsidRDefault="00D42722" w:rsidP="00D42722">
            <w:r w:rsidRPr="00D42722">
              <w:t>内在价值（DCF）、资产重置成本、安全边际。</w:t>
            </w:r>
          </w:p>
        </w:tc>
      </w:tr>
      <w:tr w:rsidR="00D42722" w:rsidRPr="00D42722" w14:paraId="3E227F2F" w14:textId="77777777" w:rsidTr="00D42722">
        <w:trPr>
          <w:tblCellSpacing w:w="15" w:type="dxa"/>
        </w:trPr>
        <w:tc>
          <w:tcPr>
            <w:tcW w:w="0" w:type="auto"/>
            <w:vAlign w:val="center"/>
            <w:hideMark/>
          </w:tcPr>
          <w:p w14:paraId="4E87EF37" w14:textId="77777777" w:rsidR="00D42722" w:rsidRPr="00D42722" w:rsidRDefault="00D42722" w:rsidP="00D42722">
            <w:r w:rsidRPr="00D42722">
              <w:rPr>
                <w:b/>
                <w:bCs/>
              </w:rPr>
              <w:t>协同阶段 (Synergy)</w:t>
            </w:r>
          </w:p>
        </w:tc>
        <w:tc>
          <w:tcPr>
            <w:tcW w:w="0" w:type="auto"/>
            <w:vAlign w:val="center"/>
            <w:hideMark/>
          </w:tcPr>
          <w:p w14:paraId="4FF1014C" w14:textId="77777777" w:rsidR="00D42722" w:rsidRPr="00D42722" w:rsidRDefault="00D42722" w:rsidP="00D42722">
            <w:r w:rsidRPr="00D42722">
              <w:t>技术全面部署，经济进入“黄金时代”，生产力普遍提升，增长稳健。</w:t>
            </w:r>
          </w:p>
        </w:tc>
        <w:tc>
          <w:tcPr>
            <w:tcW w:w="0" w:type="auto"/>
            <w:vAlign w:val="center"/>
            <w:hideMark/>
          </w:tcPr>
          <w:p w14:paraId="6BCBA529" w14:textId="77777777" w:rsidR="00D42722" w:rsidRPr="00D42722" w:rsidRDefault="00D42722" w:rsidP="00D42722">
            <w:r w:rsidRPr="00D42722">
              <w:t>生产资本主导，金融资本回归服务角色，两者协同发展。</w:t>
            </w:r>
          </w:p>
        </w:tc>
        <w:tc>
          <w:tcPr>
            <w:tcW w:w="0" w:type="auto"/>
            <w:vAlign w:val="center"/>
            <w:hideMark/>
          </w:tcPr>
          <w:p w14:paraId="7E8C0CF4" w14:textId="77777777" w:rsidR="00D42722" w:rsidRPr="00D42722" w:rsidRDefault="00D42722" w:rsidP="00D42722">
            <w:r w:rsidRPr="00D42722">
              <w:t>理性乐观，市场信心恢复，关注企业长期价值。</w:t>
            </w:r>
          </w:p>
        </w:tc>
        <w:tc>
          <w:tcPr>
            <w:tcW w:w="0" w:type="auto"/>
            <w:vAlign w:val="center"/>
            <w:hideMark/>
          </w:tcPr>
          <w:p w14:paraId="5DD9DE9B" w14:textId="77777777" w:rsidR="00D42722" w:rsidRPr="00D42722" w:rsidRDefault="00D42722" w:rsidP="00D42722">
            <w:r w:rsidRPr="00D42722">
              <w:t>竞争加剧导致利润率下降的风险、技术迭代放缓的风险。</w:t>
            </w:r>
          </w:p>
        </w:tc>
        <w:tc>
          <w:tcPr>
            <w:tcW w:w="0" w:type="auto"/>
            <w:vAlign w:val="center"/>
            <w:hideMark/>
          </w:tcPr>
          <w:p w14:paraId="0A3DC4CB" w14:textId="77777777" w:rsidR="00D42722" w:rsidRPr="00D42722" w:rsidRDefault="00D42722" w:rsidP="00D42722">
            <w:r w:rsidRPr="00D42722">
              <w:t>长期持有（Buy and Hold）、价值投资、成长与价值兼顾（GARP）。</w:t>
            </w:r>
          </w:p>
        </w:tc>
        <w:tc>
          <w:tcPr>
            <w:tcW w:w="0" w:type="auto"/>
            <w:vAlign w:val="center"/>
            <w:hideMark/>
          </w:tcPr>
          <w:p w14:paraId="7EB3431C" w14:textId="77777777" w:rsidR="00D42722" w:rsidRPr="00D42722" w:rsidRDefault="00D42722" w:rsidP="00D42722">
            <w:r w:rsidRPr="00D42722">
              <w:t>盈利增长（EPS Growth）、投入资本回报率（ROIC）、自由现金流、股息率。</w:t>
            </w:r>
          </w:p>
        </w:tc>
      </w:tr>
      <w:tr w:rsidR="00D42722" w:rsidRPr="00D42722" w14:paraId="61C1C237" w14:textId="77777777" w:rsidTr="00D42722">
        <w:trPr>
          <w:tblCellSpacing w:w="15" w:type="dxa"/>
        </w:trPr>
        <w:tc>
          <w:tcPr>
            <w:tcW w:w="0" w:type="auto"/>
            <w:vAlign w:val="center"/>
            <w:hideMark/>
          </w:tcPr>
          <w:p w14:paraId="4C760B36" w14:textId="77777777" w:rsidR="00D42722" w:rsidRPr="00D42722" w:rsidRDefault="00D42722" w:rsidP="00D42722">
            <w:r w:rsidRPr="00D42722">
              <w:rPr>
                <w:b/>
                <w:bCs/>
              </w:rPr>
              <w:t>成熟阶段 (Maturity)</w:t>
            </w:r>
          </w:p>
        </w:tc>
        <w:tc>
          <w:tcPr>
            <w:tcW w:w="0" w:type="auto"/>
            <w:vAlign w:val="center"/>
            <w:hideMark/>
          </w:tcPr>
          <w:p w14:paraId="6798E7FD" w14:textId="77777777" w:rsidR="00D42722" w:rsidRPr="00D42722" w:rsidRDefault="00D42722" w:rsidP="00D42722">
            <w:r w:rsidRPr="00D42722">
              <w:t>市场饱和，增长放缓，行业格局固化，创新转向渐进式改良。</w:t>
            </w:r>
          </w:p>
        </w:tc>
        <w:tc>
          <w:tcPr>
            <w:tcW w:w="0" w:type="auto"/>
            <w:vAlign w:val="center"/>
            <w:hideMark/>
          </w:tcPr>
          <w:p w14:paraId="7008B8C9" w14:textId="77777777" w:rsidR="00D42722" w:rsidRPr="00D42722" w:rsidRDefault="00D42722" w:rsidP="00D42722">
            <w:r w:rsidRPr="00D42722">
              <w:t>资本转向防御性，并开始寻找下一轮技术革命的萌芽。</w:t>
            </w:r>
          </w:p>
        </w:tc>
        <w:tc>
          <w:tcPr>
            <w:tcW w:w="0" w:type="auto"/>
            <w:vAlign w:val="center"/>
            <w:hideMark/>
          </w:tcPr>
          <w:p w14:paraId="19A5FC18" w14:textId="77777777" w:rsidR="00D42722" w:rsidRPr="00D42722" w:rsidRDefault="00D42722" w:rsidP="00D42722">
            <w:r w:rsidRPr="00D42722">
              <w:t>平淡，缺乏想象空间，资金流出。</w:t>
            </w:r>
          </w:p>
        </w:tc>
        <w:tc>
          <w:tcPr>
            <w:tcW w:w="0" w:type="auto"/>
            <w:vAlign w:val="center"/>
            <w:hideMark/>
          </w:tcPr>
          <w:p w14:paraId="0FC4EEFA" w14:textId="77777777" w:rsidR="00D42722" w:rsidRPr="00D42722" w:rsidRDefault="00D42722" w:rsidP="00D42722">
            <w:r w:rsidRPr="00D42722">
              <w:t>技术被新范式颠覆的风险、增长停滞风险。</w:t>
            </w:r>
          </w:p>
        </w:tc>
        <w:tc>
          <w:tcPr>
            <w:tcW w:w="0" w:type="auto"/>
            <w:vAlign w:val="center"/>
            <w:hideMark/>
          </w:tcPr>
          <w:p w14:paraId="1110A086" w14:textId="77777777" w:rsidR="00D42722" w:rsidRPr="00D42722" w:rsidRDefault="00D42722" w:rsidP="00D42722">
            <w:r w:rsidRPr="00D42722">
              <w:t>收益型投资/防御性投资。逐步减持，将资金转向新的导入期领域。</w:t>
            </w:r>
          </w:p>
        </w:tc>
        <w:tc>
          <w:tcPr>
            <w:tcW w:w="0" w:type="auto"/>
            <w:vAlign w:val="center"/>
            <w:hideMark/>
          </w:tcPr>
          <w:p w14:paraId="45EAF4E5" w14:textId="77777777" w:rsidR="00D42722" w:rsidRPr="00D42722" w:rsidRDefault="00D42722" w:rsidP="00D42722">
            <w:r w:rsidRPr="00D42722">
              <w:t>股息收益率（Dividend Yield）、</w:t>
            </w:r>
            <w:proofErr w:type="gramStart"/>
            <w:r w:rsidRPr="00D42722">
              <w:t>市净率</w:t>
            </w:r>
            <w:proofErr w:type="gramEnd"/>
            <w:r w:rsidRPr="00D42722">
              <w:t>（P/B）、企业价值/EBITDA。</w:t>
            </w:r>
          </w:p>
        </w:tc>
      </w:tr>
    </w:tbl>
    <w:p w14:paraId="6144ADB1" w14:textId="77777777" w:rsidR="00D42722" w:rsidRPr="00D42722" w:rsidRDefault="00D42722" w:rsidP="00D42722">
      <w:r w:rsidRPr="00D42722">
        <w:t>Export to Sheets</w:t>
      </w:r>
    </w:p>
    <w:p w14:paraId="22C846DB" w14:textId="77777777" w:rsidR="00D42722" w:rsidRPr="00D42722" w:rsidRDefault="00D42722" w:rsidP="00D42722">
      <w:pPr>
        <w:rPr>
          <w:b/>
          <w:bCs/>
        </w:rPr>
      </w:pPr>
      <w:r w:rsidRPr="00D42722">
        <w:rPr>
          <w:b/>
          <w:bCs/>
        </w:rPr>
        <w:t>第二部分：核心哲学：</w:t>
      </w:r>
      <w:proofErr w:type="gramStart"/>
      <w:r w:rsidRPr="00D42722">
        <w:rPr>
          <w:b/>
          <w:bCs/>
        </w:rPr>
        <w:t>愿景与</w:t>
      </w:r>
      <w:proofErr w:type="gramEnd"/>
      <w:r w:rsidRPr="00D42722">
        <w:rPr>
          <w:b/>
          <w:bCs/>
        </w:rPr>
        <w:t>执行的双重性</w:t>
      </w:r>
    </w:p>
    <w:p w14:paraId="7852F415" w14:textId="77777777" w:rsidR="00D42722" w:rsidRPr="00D42722" w:rsidRDefault="00D42722" w:rsidP="00D42722">
      <w:r w:rsidRPr="00D42722">
        <w:t xml:space="preserve">在掌握了技术革命的宏观节律之后，投资体系的构建需要一个坚实的哲学内核。成功的技术投资，不仅要求能看清未来十年的产业终局，也要求能应对下一分钟的市场波动。这需要一种双重思维模式（Dual Thinking），即同时运用“创始人视角”和“交易员视角”来审视投资机会 。这两种视角代表了价值与价格、长期与短期、战略与战术的统一，是穿越周期迷雾、实现超额收益的根本思想武器。   </w:t>
      </w:r>
    </w:p>
    <w:p w14:paraId="216AB022" w14:textId="77777777" w:rsidR="00D42722" w:rsidRPr="00D42722" w:rsidRDefault="00D42722" w:rsidP="00D42722">
      <w:pPr>
        <w:rPr>
          <w:b/>
          <w:bCs/>
        </w:rPr>
      </w:pPr>
      <w:r w:rsidRPr="00D42722">
        <w:rPr>
          <w:b/>
          <w:bCs/>
        </w:rPr>
        <w:t>2.1 创始人视角：投资于持久价值</w:t>
      </w:r>
    </w:p>
    <w:p w14:paraId="14F3CE6A" w14:textId="77777777" w:rsidR="00D42722" w:rsidRPr="00D42722" w:rsidRDefault="00D42722" w:rsidP="00D42722">
      <w:r w:rsidRPr="00D42722">
        <w:t xml:space="preserve">创始人视角（Founder's View）的本质，是像公司的缔造者或长期所有者一样思考，将购买股票视为获取企业所有权的一部分，而非一张可以随时买卖的彩票 。其核心是关注企业的长期内在价值创造。采用此视角，投资者需要回答以下几个根本性问题：   </w:t>
      </w:r>
    </w:p>
    <w:p w14:paraId="6842659D" w14:textId="77777777" w:rsidR="00D42722" w:rsidRPr="00D42722" w:rsidRDefault="00D42722" w:rsidP="00D42722">
      <w:pPr>
        <w:numPr>
          <w:ilvl w:val="0"/>
          <w:numId w:val="6"/>
        </w:numPr>
      </w:pPr>
      <w:r w:rsidRPr="00D42722">
        <w:rPr>
          <w:b/>
          <w:bCs/>
        </w:rPr>
        <w:t>行业前景与长期战略：</w:t>
      </w:r>
      <w:r w:rsidRPr="00D42722">
        <w:t xml:space="preserve"> 这家公司是否处在一个拥有长期增长潜力的“好赛道”？它</w:t>
      </w:r>
      <w:proofErr w:type="gramStart"/>
      <w:r w:rsidRPr="00D42722">
        <w:t>的愿景和</w:t>
      </w:r>
      <w:proofErr w:type="gramEnd"/>
      <w:r w:rsidRPr="00D42722">
        <w:t>战略规划是否清晰，并且与技术革命的大趋势相契合？一个典型的正面案例是比亚</w:t>
      </w:r>
      <w:proofErr w:type="gramStart"/>
      <w:r w:rsidRPr="00D42722">
        <w:t>迪</w:t>
      </w:r>
      <w:proofErr w:type="gramEnd"/>
      <w:r w:rsidRPr="00D42722">
        <w:t xml:space="preserve">，其管理层在十多年前就坚定地押注电动化方向，并在后续推出了符合市场需求的“纯电+插混”双线战略，这种前瞻性布局为其赢得了宝贵的市场先机 。创始人视角要求投资者具备穿透短期财报、洞察产业终局的能力。   </w:t>
      </w:r>
    </w:p>
    <w:p w14:paraId="56411F36" w14:textId="77777777" w:rsidR="00D42722" w:rsidRPr="00D42722" w:rsidRDefault="00D42722" w:rsidP="00D42722">
      <w:pPr>
        <w:numPr>
          <w:ilvl w:val="0"/>
          <w:numId w:val="6"/>
        </w:numPr>
      </w:pPr>
      <w:r w:rsidRPr="00D42722">
        <w:rPr>
          <w:b/>
          <w:bCs/>
        </w:rPr>
        <w:t>经济护城河（Economic Moat）：</w:t>
      </w:r>
      <w:r w:rsidRPr="00D42722">
        <w:t xml:space="preserve"> 公司的超额利润能否持续？其核心竞争优势的来源是什么？这决定了企业的长期盈利能力和投资价值。护城河可以有多种形式：</w:t>
      </w:r>
    </w:p>
    <w:p w14:paraId="1B573908" w14:textId="77777777" w:rsidR="00D42722" w:rsidRPr="00D42722" w:rsidRDefault="00D42722" w:rsidP="00D42722">
      <w:pPr>
        <w:numPr>
          <w:ilvl w:val="1"/>
          <w:numId w:val="6"/>
        </w:numPr>
      </w:pPr>
      <w:r w:rsidRPr="00D42722">
        <w:rPr>
          <w:b/>
          <w:bCs/>
        </w:rPr>
        <w:t>技术壁垒：</w:t>
      </w:r>
      <w:r w:rsidRPr="00D42722">
        <w:t xml:space="preserve"> 如英伟达（NVIDIA）围绕其GPU和CUDA软件平台构建的强大</w:t>
      </w:r>
      <w:r w:rsidRPr="00D42722">
        <w:lastRenderedPageBreak/>
        <w:t xml:space="preserve">生态系统，形成了开发者和用户的高度锁定，竞争对手难以在短期内撼动 。   </w:t>
      </w:r>
    </w:p>
    <w:p w14:paraId="7C339649" w14:textId="77777777" w:rsidR="00D42722" w:rsidRPr="00D42722" w:rsidRDefault="00D42722" w:rsidP="00D42722">
      <w:pPr>
        <w:numPr>
          <w:ilvl w:val="1"/>
          <w:numId w:val="6"/>
        </w:numPr>
      </w:pPr>
      <w:r w:rsidRPr="00D42722">
        <w:rPr>
          <w:b/>
          <w:bCs/>
        </w:rPr>
        <w:t>独特的商业模式：</w:t>
      </w:r>
      <w:r w:rsidRPr="00D42722">
        <w:t xml:space="preserve"> </w:t>
      </w:r>
      <w:proofErr w:type="gramStart"/>
      <w:r w:rsidRPr="00D42722">
        <w:t>如拼多多</w:t>
      </w:r>
      <w:proofErr w:type="gramEnd"/>
      <w:r w:rsidRPr="00D42722">
        <w:t>（</w:t>
      </w:r>
      <w:proofErr w:type="spellStart"/>
      <w:r w:rsidRPr="00D42722">
        <w:t>Pinduoduo</w:t>
      </w:r>
      <w:proofErr w:type="spellEnd"/>
      <w:r w:rsidRPr="00D42722">
        <w:t>）开创的“社交电商+C2M（用户直连制造）”模式，通过社交裂变和直连工厂，极大地降低了</w:t>
      </w:r>
      <w:proofErr w:type="gramStart"/>
      <w:r w:rsidRPr="00D42722">
        <w:t>获客成本</w:t>
      </w:r>
      <w:proofErr w:type="gramEnd"/>
      <w:r w:rsidRPr="00D42722">
        <w:t>和商品价格，在</w:t>
      </w:r>
      <w:proofErr w:type="gramStart"/>
      <w:r w:rsidRPr="00D42722">
        <w:t>传统电</w:t>
      </w:r>
      <w:proofErr w:type="gramEnd"/>
      <w:r w:rsidRPr="00D42722">
        <w:t xml:space="preserve">商巨头的夹缝中开辟了新天地 。   </w:t>
      </w:r>
    </w:p>
    <w:p w14:paraId="62195911" w14:textId="77777777" w:rsidR="00D42722" w:rsidRPr="00D42722" w:rsidRDefault="00D42722" w:rsidP="00D42722">
      <w:pPr>
        <w:numPr>
          <w:ilvl w:val="1"/>
          <w:numId w:val="6"/>
        </w:numPr>
      </w:pPr>
      <w:r w:rsidRPr="00D42722">
        <w:rPr>
          <w:b/>
          <w:bCs/>
        </w:rPr>
        <w:t>制造与成本优势：</w:t>
      </w:r>
      <w:r w:rsidRPr="00D42722">
        <w:t xml:space="preserve"> 如特斯拉（Tesla）通过一体化压铸等制造工艺创新，以及比亚</w:t>
      </w:r>
      <w:proofErr w:type="gramStart"/>
      <w:r w:rsidRPr="00D42722">
        <w:t>迪</w:t>
      </w:r>
      <w:proofErr w:type="gramEnd"/>
      <w:r w:rsidRPr="00D42722">
        <w:t xml:space="preserve">（BYD）通过高度垂直整合的供应链，实现了显著的成本领先优势，这在日益激烈的价格战中至关重要 。   </w:t>
      </w:r>
    </w:p>
    <w:p w14:paraId="017AC668" w14:textId="77777777" w:rsidR="00D42722" w:rsidRPr="00D42722" w:rsidRDefault="00D42722" w:rsidP="00D42722">
      <w:pPr>
        <w:numPr>
          <w:ilvl w:val="0"/>
          <w:numId w:val="6"/>
        </w:numPr>
      </w:pPr>
      <w:r w:rsidRPr="00D42722">
        <w:rPr>
          <w:b/>
          <w:bCs/>
        </w:rPr>
        <w:t>价值创造能力：</w:t>
      </w:r>
      <w:r w:rsidRPr="00D42722">
        <w:t xml:space="preserve"> 公司能否持续地创造超过其资本成本的回报？这是衡量企业经营效率和股东价值创造的核心标准。投入资本回报率（ROIC）是评估这一能力的关键财务指标 。一个拥有宽阔护城河并能持续实现高ROIC的公司，是创始人视角下最理想的投资标的。   </w:t>
      </w:r>
    </w:p>
    <w:p w14:paraId="5E1A4677" w14:textId="77777777" w:rsidR="00D42722" w:rsidRPr="00D42722" w:rsidRDefault="00D42722" w:rsidP="00D42722">
      <w:r w:rsidRPr="00D42722">
        <w:t>创始人视角强调深度研究、长期主义和价值导向，它能帮助投资者在市场喧嚣中保持定力，聚焦于企业的根本，做出战略性的投资决策。</w:t>
      </w:r>
    </w:p>
    <w:p w14:paraId="310E3666" w14:textId="77777777" w:rsidR="00D42722" w:rsidRPr="00D42722" w:rsidRDefault="00D42722" w:rsidP="00D42722">
      <w:pPr>
        <w:rPr>
          <w:b/>
          <w:bCs/>
        </w:rPr>
      </w:pPr>
      <w:r w:rsidRPr="00D42722">
        <w:rPr>
          <w:b/>
          <w:bCs/>
        </w:rPr>
        <w:t>2.2 交易员视角：驾驭市场动态</w:t>
      </w:r>
    </w:p>
    <w:p w14:paraId="0949ACF7" w14:textId="77777777" w:rsidR="00D42722" w:rsidRPr="00D42722" w:rsidRDefault="00D42722" w:rsidP="00D42722">
      <w:r w:rsidRPr="00D42722">
        <w:t xml:space="preserve">交易员视角（Trader's View）则承认，在短期和中期，市场是一台“投票机”，股价更多地受到供求关系、市场情绪和资金流动的影响，而非仅仅是公司的内在价值 。它要求投资者关注市场的短期行为，以概率和风险收益的思维来进行战术操作。   </w:t>
      </w:r>
    </w:p>
    <w:p w14:paraId="6A7D4543" w14:textId="77777777" w:rsidR="00D42722" w:rsidRPr="00D42722" w:rsidRDefault="00D42722" w:rsidP="00D42722">
      <w:pPr>
        <w:numPr>
          <w:ilvl w:val="0"/>
          <w:numId w:val="7"/>
        </w:numPr>
      </w:pPr>
      <w:r w:rsidRPr="00D42722">
        <w:rPr>
          <w:b/>
          <w:bCs/>
        </w:rPr>
        <w:t>胜率、赔率与</w:t>
      </w:r>
      <w:proofErr w:type="gramStart"/>
      <w:r w:rsidRPr="00D42722">
        <w:rPr>
          <w:b/>
          <w:bCs/>
        </w:rPr>
        <w:t>仓位</w:t>
      </w:r>
      <w:proofErr w:type="gramEnd"/>
      <w:r w:rsidRPr="00D42722">
        <w:rPr>
          <w:b/>
          <w:bCs/>
        </w:rPr>
        <w:t>管理：</w:t>
      </w:r>
      <w:r w:rsidRPr="00D42722">
        <w:t xml:space="preserve"> 这是交易员视角的核心三要素。每一笔投资都被视为一次博弈。</w:t>
      </w:r>
      <w:r w:rsidRPr="00D42722">
        <w:rPr>
          <w:b/>
          <w:bCs/>
        </w:rPr>
        <w:t>胜率</w:t>
      </w:r>
      <w:r w:rsidRPr="00D42722">
        <w:t>（Probability）指投资成功的概率；</w:t>
      </w:r>
      <w:r w:rsidRPr="00D42722">
        <w:rPr>
          <w:b/>
          <w:bCs/>
        </w:rPr>
        <w:t>赔率</w:t>
      </w:r>
      <w:r w:rsidRPr="00D42722">
        <w:t>（Payoff）指潜在收益与潜在亏损的比率。理想的投资是寻找高胜率、高赔率的机会。</w:t>
      </w:r>
      <w:proofErr w:type="gramStart"/>
      <w:r w:rsidRPr="00D42722">
        <w:rPr>
          <w:b/>
          <w:bCs/>
        </w:rPr>
        <w:t>仓位</w:t>
      </w:r>
      <w:proofErr w:type="gramEnd"/>
      <w:r w:rsidRPr="00D42722">
        <w:rPr>
          <w:b/>
          <w:bCs/>
        </w:rPr>
        <w:t>管理</w:t>
      </w:r>
      <w:r w:rsidRPr="00D42722">
        <w:t>（Position Sizing）则是根据胜率和赔率来决定投入多少资金。例如，一个基本面扎实、且有明确催化剂的投资机会，其胜率和赔率都较高，值得分配较重的</w:t>
      </w:r>
      <w:proofErr w:type="gramStart"/>
      <w:r w:rsidRPr="00D42722">
        <w:t>仓位</w:t>
      </w:r>
      <w:proofErr w:type="gramEnd"/>
      <w:r w:rsidRPr="00D42722">
        <w:t xml:space="preserve"> 。   </w:t>
      </w:r>
    </w:p>
    <w:p w14:paraId="62D70AC2" w14:textId="77777777" w:rsidR="00D42722" w:rsidRPr="00D42722" w:rsidRDefault="00D42722" w:rsidP="00D42722">
      <w:pPr>
        <w:numPr>
          <w:ilvl w:val="0"/>
          <w:numId w:val="7"/>
        </w:numPr>
      </w:pPr>
      <w:r w:rsidRPr="00D42722">
        <w:rPr>
          <w:b/>
          <w:bCs/>
        </w:rPr>
        <w:t>市场情绪与价格波动：</w:t>
      </w:r>
      <w:r w:rsidRPr="00D42722">
        <w:t xml:space="preserve"> 交易</w:t>
      </w:r>
      <w:proofErr w:type="gramStart"/>
      <w:r w:rsidRPr="00D42722">
        <w:t>员密切</w:t>
      </w:r>
      <w:proofErr w:type="gramEnd"/>
      <w:r w:rsidRPr="00D42722">
        <w:t>关注市场情绪的钟摆，从贪婪到恐惧。通过分析技术图表、资金流向、新闻热度以及各</w:t>
      </w:r>
      <w:proofErr w:type="gramStart"/>
      <w:r w:rsidRPr="00D42722">
        <w:t>类情绪</w:t>
      </w:r>
      <w:proofErr w:type="gramEnd"/>
      <w:r w:rsidRPr="00D42722">
        <w:t xml:space="preserve">指标，来判断当前市场对某只股票的定价是过高还是过低 。例如，在2023-2025年的AI热潮中，大量关于AI泡沫的讨论和分析文章涌现，反映了市场情绪的高度亢奋，这是一个交易员视角下需要警惕的信号 。   </w:t>
      </w:r>
    </w:p>
    <w:p w14:paraId="6EC49222" w14:textId="77777777" w:rsidR="00D42722" w:rsidRPr="00D42722" w:rsidRDefault="00D42722" w:rsidP="00D42722">
      <w:pPr>
        <w:numPr>
          <w:ilvl w:val="0"/>
          <w:numId w:val="7"/>
        </w:numPr>
      </w:pPr>
      <w:r w:rsidRPr="00D42722">
        <w:rPr>
          <w:b/>
          <w:bCs/>
        </w:rPr>
        <w:t>交易纪律与风险控制：</w:t>
      </w:r>
      <w:r w:rsidRPr="00D42722">
        <w:t xml:space="preserve"> 交易员视角强调纪律的至关重要性。这包括设定并严格执行止损（Stop-loss）以限制最大亏损，以及在达到目标后分批止盈（Take-profit）以锁定利润。核心原则是“截断亏损，让利润奔跑”，避免情绪化决策导致灾难性后果 。   </w:t>
      </w:r>
    </w:p>
    <w:p w14:paraId="06272482" w14:textId="77777777" w:rsidR="00D42722" w:rsidRPr="00D42722" w:rsidRDefault="00D42722" w:rsidP="00D42722">
      <w:r w:rsidRPr="00D42722">
        <w:t>交易员视角为投资决策提供了时效性、灵活性和风险管理的维度，它帮助投资者在看清长期价值的基础上，选择更优的买卖时机，提高资金效率。</w:t>
      </w:r>
    </w:p>
    <w:p w14:paraId="26B02FF9" w14:textId="77777777" w:rsidR="00D42722" w:rsidRPr="00D42722" w:rsidRDefault="00D42722" w:rsidP="00D42722">
      <w:pPr>
        <w:rPr>
          <w:b/>
          <w:bCs/>
        </w:rPr>
      </w:pPr>
      <w:r w:rsidRPr="00D42722">
        <w:rPr>
          <w:b/>
          <w:bCs/>
        </w:rPr>
        <w:t>2.3 综合思维：一种统一的方法论</w:t>
      </w:r>
    </w:p>
    <w:p w14:paraId="502D2565" w14:textId="77777777" w:rsidR="00D42722" w:rsidRPr="00D42722" w:rsidRDefault="00D42722" w:rsidP="00D42722">
      <w:r w:rsidRPr="00D42722">
        <w:t>创始人视角和交易员视角并非对立，而是相辅相成的。成功的投资体系必须将两者有机地结合起来，形成一种动态平衡的综合思维。</w:t>
      </w:r>
    </w:p>
    <w:p w14:paraId="6F006789" w14:textId="77777777" w:rsidR="00D42722" w:rsidRPr="00D42722" w:rsidRDefault="00D42722" w:rsidP="00D42722">
      <w:pPr>
        <w:numPr>
          <w:ilvl w:val="0"/>
          <w:numId w:val="8"/>
        </w:numPr>
      </w:pPr>
      <w:r w:rsidRPr="00D42722">
        <w:rPr>
          <w:b/>
          <w:bCs/>
        </w:rPr>
        <w:t>分层决策流程：</w:t>
      </w:r>
    </w:p>
    <w:p w14:paraId="7D90D66C" w14:textId="77777777" w:rsidR="00D42722" w:rsidRPr="00D42722" w:rsidRDefault="00D42722" w:rsidP="00D42722">
      <w:pPr>
        <w:numPr>
          <w:ilvl w:val="1"/>
          <w:numId w:val="8"/>
        </w:numPr>
      </w:pPr>
      <w:r w:rsidRPr="00D42722">
        <w:rPr>
          <w:b/>
          <w:bCs/>
        </w:rPr>
        <w:t>选股（What to Buy）：</w:t>
      </w:r>
      <w:r w:rsidRPr="00D42722">
        <w:t xml:space="preserve"> 在战略层面，以</w:t>
      </w:r>
      <w:r w:rsidRPr="00D42722">
        <w:rPr>
          <w:b/>
          <w:bCs/>
        </w:rPr>
        <w:t>创始人视角</w:t>
      </w:r>
      <w:r w:rsidRPr="00D42722">
        <w:t>为主。通过深入的基本面研究，筛选出那些拥有宽阔护城河和长期增长潜力的“好赛道、好公司”。</w:t>
      </w:r>
    </w:p>
    <w:p w14:paraId="387EDD8D" w14:textId="77777777" w:rsidR="00D42722" w:rsidRPr="00D42722" w:rsidRDefault="00D42722" w:rsidP="00D42722">
      <w:pPr>
        <w:numPr>
          <w:ilvl w:val="1"/>
          <w:numId w:val="8"/>
        </w:numPr>
      </w:pPr>
      <w:r w:rsidRPr="00D42722">
        <w:rPr>
          <w:b/>
          <w:bCs/>
        </w:rPr>
        <w:t>择时与</w:t>
      </w:r>
      <w:proofErr w:type="gramStart"/>
      <w:r w:rsidRPr="00D42722">
        <w:rPr>
          <w:b/>
          <w:bCs/>
        </w:rPr>
        <w:t>仓位</w:t>
      </w:r>
      <w:proofErr w:type="gramEnd"/>
      <w:r w:rsidRPr="00D42722">
        <w:rPr>
          <w:b/>
          <w:bCs/>
        </w:rPr>
        <w:t>（When &amp; How Much to Buy）：</w:t>
      </w:r>
      <w:r w:rsidRPr="00D42722">
        <w:t xml:space="preserve"> 在战术层面，更多地融入</w:t>
      </w:r>
      <w:r w:rsidRPr="00D42722">
        <w:rPr>
          <w:b/>
          <w:bCs/>
        </w:rPr>
        <w:t>交易员视角</w:t>
      </w:r>
      <w:r w:rsidRPr="00D42722">
        <w:t>。结合市场情绪、估值水平、技术信号和风险收益比，来优化买入和卖出的时机与节奏。</w:t>
      </w:r>
    </w:p>
    <w:p w14:paraId="76064ED9" w14:textId="77777777" w:rsidR="00D42722" w:rsidRPr="00D42722" w:rsidRDefault="00D42722" w:rsidP="00D42722">
      <w:pPr>
        <w:numPr>
          <w:ilvl w:val="0"/>
          <w:numId w:val="8"/>
        </w:numPr>
      </w:pPr>
      <w:r w:rsidRPr="00D42722">
        <w:rPr>
          <w:b/>
          <w:bCs/>
        </w:rPr>
        <w:t>动态调整视角权重：</w:t>
      </w:r>
      <w:r w:rsidRPr="00D42722">
        <w:t xml:space="preserve"> 这种双重视角的融合并非静态，其权重应根据市场所处的佩雷丝周期阶段进行动态调整。这是一个使该投资框架具备高度适应性的关键所在。</w:t>
      </w:r>
    </w:p>
    <w:p w14:paraId="6B0BD8DC" w14:textId="77777777" w:rsidR="00D42722" w:rsidRPr="00D42722" w:rsidRDefault="00D42722" w:rsidP="00D42722">
      <w:pPr>
        <w:numPr>
          <w:ilvl w:val="1"/>
          <w:numId w:val="8"/>
        </w:numPr>
      </w:pPr>
      <w:r w:rsidRPr="00D42722">
        <w:lastRenderedPageBreak/>
        <w:t>在</w:t>
      </w:r>
      <w:r w:rsidRPr="00D42722">
        <w:rPr>
          <w:b/>
          <w:bCs/>
        </w:rPr>
        <w:t>狂热期（Frenzy）</w:t>
      </w:r>
      <w:r w:rsidRPr="00D42722">
        <w:t>，市场由情绪和动量主导，估值普遍脱离基本面。此时，</w:t>
      </w:r>
      <w:r w:rsidRPr="00D42722">
        <w:rPr>
          <w:b/>
          <w:bCs/>
        </w:rPr>
        <w:t>交易员视角</w:t>
      </w:r>
      <w:r w:rsidRPr="00D42722">
        <w:t>的权重</w:t>
      </w:r>
      <w:proofErr w:type="gramStart"/>
      <w:r w:rsidRPr="00D42722">
        <w:t>应显著</w:t>
      </w:r>
      <w:proofErr w:type="gramEnd"/>
      <w:r w:rsidRPr="00D42722">
        <w:t>提升。即便创始人视角长期看好某家公司，交易员视角也会</w:t>
      </w:r>
      <w:proofErr w:type="gramStart"/>
      <w:r w:rsidRPr="00D42722">
        <w:t>警示短期</w:t>
      </w:r>
      <w:proofErr w:type="gramEnd"/>
      <w:r w:rsidRPr="00D42722">
        <w:t>风险过高，从而采取减仓、停止买入或进行对冲等战术操作，以规避泡沫破裂的风险。</w:t>
      </w:r>
    </w:p>
    <w:p w14:paraId="408B5DD8" w14:textId="77777777" w:rsidR="00D42722" w:rsidRPr="00D42722" w:rsidRDefault="00D42722" w:rsidP="00D42722">
      <w:pPr>
        <w:numPr>
          <w:ilvl w:val="1"/>
          <w:numId w:val="8"/>
        </w:numPr>
      </w:pPr>
      <w:r w:rsidRPr="00D42722">
        <w:t>在</w:t>
      </w:r>
      <w:r w:rsidRPr="00D42722">
        <w:rPr>
          <w:b/>
          <w:bCs/>
        </w:rPr>
        <w:t>转折点（Turning Point）</w:t>
      </w:r>
      <w:r w:rsidRPr="00D42722">
        <w:t>，市场陷入恐慌，优质资产被非理性抛售。此时，市场情绪和价格动量均为负面，纯粹的交易员视角可能会选择离场。然而，这正是</w:t>
      </w:r>
      <w:r w:rsidRPr="00D42722">
        <w:rPr>
          <w:b/>
          <w:bCs/>
        </w:rPr>
        <w:t>创始人视角</w:t>
      </w:r>
      <w:r w:rsidRPr="00D42722">
        <w:t>价值最大的时刻。它提供了基于深度研究的信念，让投资者敢于在“血流成河”时买入那些被严重低估的、未来能够引领“黄金时代”的伟大公司。</w:t>
      </w:r>
    </w:p>
    <w:p w14:paraId="3D9BECEE" w14:textId="77777777" w:rsidR="00D42722" w:rsidRPr="00D42722" w:rsidRDefault="00D42722" w:rsidP="00D42722">
      <w:r w:rsidRPr="00D42722">
        <w:t>通过这种方式，双重思维框架解决了佩雷丝周期模型带给投资者的核心困境。它既能让投资者在狂热中保持清醒，避免成为泡沫的牺牲品，又能给予投资者在危机中抓住历史性机遇的勇气和远见。这种战略上的坚定性和战术上的灵活性相结合，构成了驾驭技术革命浪潮的强大思想内核。</w:t>
      </w:r>
    </w:p>
    <w:p w14:paraId="21DD288D" w14:textId="77777777" w:rsidR="00D42722" w:rsidRPr="00D42722" w:rsidRDefault="00D42722" w:rsidP="00D42722">
      <w:pPr>
        <w:rPr>
          <w:b/>
          <w:bCs/>
        </w:rPr>
      </w:pPr>
      <w:r w:rsidRPr="00D42722">
        <w:rPr>
          <w:b/>
          <w:bCs/>
        </w:rPr>
        <w:t>第三部分：投资流程：公司分析的闭环系统</w:t>
      </w:r>
    </w:p>
    <w:p w14:paraId="3C6964A4" w14:textId="77777777" w:rsidR="00D42722" w:rsidRPr="00D42722" w:rsidRDefault="00D42722" w:rsidP="00D42722">
      <w:r w:rsidRPr="00D42722">
        <w:t>本部分旨在将前述的宏观框架和核心哲学，转化为一个可重复、可操作的闭环投资流程。这个五步系统性流程，从识别宏观浪潮到具体的公司分析，再到最终的组合管理和反馈优化，为投资者提供了一套完整的“如何做”的行动指南。其设计旨在确保每一项投资决策都建立在严谨、多维度的分析之上，并能够直接指导AI进行辅助研究。</w:t>
      </w:r>
    </w:p>
    <w:p w14:paraId="3246C2FE" w14:textId="77777777" w:rsidR="00D42722" w:rsidRPr="00D42722" w:rsidRDefault="00D42722" w:rsidP="00D42722">
      <w:pPr>
        <w:rPr>
          <w:b/>
          <w:bCs/>
        </w:rPr>
      </w:pPr>
      <w:r w:rsidRPr="00D42722">
        <w:rPr>
          <w:b/>
          <w:bCs/>
        </w:rPr>
        <w:t>3.1 步骤</w:t>
      </w:r>
      <w:proofErr w:type="gramStart"/>
      <w:r w:rsidRPr="00D42722">
        <w:rPr>
          <w:b/>
          <w:bCs/>
        </w:rPr>
        <w:t>一</w:t>
      </w:r>
      <w:proofErr w:type="gramEnd"/>
      <w:r w:rsidRPr="00D42722">
        <w:rPr>
          <w:b/>
          <w:bCs/>
        </w:rPr>
        <w:t>：识别浪潮 – S曲线与资本流向分析</w:t>
      </w:r>
    </w:p>
    <w:p w14:paraId="5FB354D3" w14:textId="77777777" w:rsidR="00D42722" w:rsidRPr="00D42722" w:rsidRDefault="00D42722" w:rsidP="00D42722">
      <w:r w:rsidRPr="00D42722">
        <w:t>投资的第一步是判断“潮水的方向”，即确定哪个技术革命值得关注，以及它正处于哪个发展阶段。</w:t>
      </w:r>
    </w:p>
    <w:p w14:paraId="7DCA1896" w14:textId="77777777" w:rsidR="00D42722" w:rsidRPr="00D42722" w:rsidRDefault="00D42722" w:rsidP="00D42722">
      <w:pPr>
        <w:numPr>
          <w:ilvl w:val="0"/>
          <w:numId w:val="9"/>
        </w:numPr>
      </w:pPr>
      <w:r w:rsidRPr="00D42722">
        <w:rPr>
          <w:b/>
          <w:bCs/>
        </w:rPr>
        <w:t>方法论：</w:t>
      </w:r>
    </w:p>
    <w:p w14:paraId="4D1E2EF3" w14:textId="77777777" w:rsidR="00D42722" w:rsidRPr="00D42722" w:rsidRDefault="00D42722" w:rsidP="00D42722">
      <w:pPr>
        <w:numPr>
          <w:ilvl w:val="1"/>
          <w:numId w:val="9"/>
        </w:numPr>
      </w:pPr>
      <w:r w:rsidRPr="00D42722">
        <w:rPr>
          <w:b/>
          <w:bCs/>
        </w:rPr>
        <w:t>追踪技术S曲线（S-Curve）：</w:t>
      </w:r>
      <w:r w:rsidRPr="00D42722">
        <w:t xml:space="preserve"> 任何新技术的扩散都遵循一条S形的渗透率曲线，经历缓慢的启动期、迅猛的加速期和最终的饱和期 。通过追踪关键指标（如市场渗透率、用户数量）的变化，可以判断一项技术在其生命周期中的位置。例如，全球电动汽车销量在2024年已超过新车总销量的20% ，这清晰地表明电动汽车技术已越过S曲线的早期拐点，进入了陡峭的“快速成长期”。   </w:t>
      </w:r>
    </w:p>
    <w:p w14:paraId="19FBEEE1" w14:textId="77777777" w:rsidR="00D42722" w:rsidRPr="00D42722" w:rsidRDefault="00D42722" w:rsidP="00D42722">
      <w:pPr>
        <w:numPr>
          <w:ilvl w:val="1"/>
          <w:numId w:val="9"/>
        </w:numPr>
      </w:pPr>
      <w:r w:rsidRPr="00D42722">
        <w:rPr>
          <w:b/>
          <w:bCs/>
        </w:rPr>
        <w:t>分析风险资本（VC）流向：</w:t>
      </w:r>
      <w:r w:rsidRPr="00D42722">
        <w:t xml:space="preserve"> 风险投资是技术革命“导入期”和“狂热期”最灵敏的“温度计”。资本大规模、集中地涌入某一特定领域，是该技术进入狂热阶段的强烈信号。例如，2024年美国AI领域吸引了高达970亿美元的风险投资，占总额的近一半，这无可辩驳地证明了AI革命正处于佩雷丝周期中的“狂热期” 。投资者应密切关注</w:t>
      </w:r>
      <w:proofErr w:type="spellStart"/>
      <w:r w:rsidRPr="00D42722">
        <w:t>PitchBook</w:t>
      </w:r>
      <w:proofErr w:type="spellEnd"/>
      <w:r w:rsidRPr="00D42722">
        <w:t xml:space="preserve">、CB Insights等专业数据平台发布的VC融资报告，以捕捉新兴趋势 。   </w:t>
      </w:r>
    </w:p>
    <w:p w14:paraId="7107F5F7" w14:textId="77777777" w:rsidR="00D42722" w:rsidRPr="00D42722" w:rsidRDefault="00D42722" w:rsidP="00D42722">
      <w:pPr>
        <w:numPr>
          <w:ilvl w:val="1"/>
          <w:numId w:val="9"/>
        </w:numPr>
      </w:pPr>
      <w:r w:rsidRPr="00D42722">
        <w:rPr>
          <w:b/>
          <w:bCs/>
        </w:rPr>
        <w:t>审视政策与基础设施：</w:t>
      </w:r>
      <w:r w:rsidRPr="00D42722">
        <w:t xml:space="preserve"> 政府的产业政策（如美国的《芯片法案》、欧盟的绿色新政）和相关基础设施的建设进度（如5G网络、电动车充电桩、数据中心）是技术能否顺利进入“协同阶段”的先决条件 。这些因素为技术的广泛应用铺平了道路，是判断长期潜力的重要依据。   </w:t>
      </w:r>
    </w:p>
    <w:p w14:paraId="597408D4" w14:textId="77777777" w:rsidR="00D42722" w:rsidRPr="00D42722" w:rsidRDefault="00D42722" w:rsidP="00D42722">
      <w:pPr>
        <w:rPr>
          <w:b/>
          <w:bCs/>
        </w:rPr>
      </w:pPr>
      <w:r w:rsidRPr="00D42722">
        <w:rPr>
          <w:b/>
          <w:bCs/>
        </w:rPr>
        <w:t>3.2 步骤二：定位时点 – 识别战略性切入点</w:t>
      </w:r>
    </w:p>
    <w:p w14:paraId="53838FD8" w14:textId="77777777" w:rsidR="00D42722" w:rsidRPr="00D42722" w:rsidRDefault="00D42722" w:rsidP="00D42722">
      <w:r w:rsidRPr="00D42722">
        <w:t xml:space="preserve">在选定赛道后，下一个关键问题是“何时入场”。本体系识别出三个可能引发股价价值重估的关键催化剂时点，它们对应着一家科技公司从概念到商业化，再到财务兑现的三个里程碑 。   </w:t>
      </w:r>
    </w:p>
    <w:p w14:paraId="793241B5" w14:textId="77777777" w:rsidR="00D42722" w:rsidRPr="00D42722" w:rsidRDefault="00D42722" w:rsidP="00D42722">
      <w:pPr>
        <w:numPr>
          <w:ilvl w:val="0"/>
          <w:numId w:val="10"/>
        </w:numPr>
      </w:pPr>
      <w:r w:rsidRPr="00D42722">
        <w:rPr>
          <w:b/>
          <w:bCs/>
        </w:rPr>
        <w:t>催化剂1：技术可行性得到验证</w:t>
      </w:r>
    </w:p>
    <w:p w14:paraId="180FC0B5" w14:textId="77777777" w:rsidR="00D42722" w:rsidRPr="00D42722" w:rsidRDefault="00D42722" w:rsidP="00D42722">
      <w:pPr>
        <w:numPr>
          <w:ilvl w:val="1"/>
          <w:numId w:val="10"/>
        </w:numPr>
      </w:pPr>
      <w:r w:rsidRPr="00D42722">
        <w:rPr>
          <w:b/>
          <w:bCs/>
        </w:rPr>
        <w:t>信号：</w:t>
      </w:r>
      <w:r w:rsidRPr="00D42722">
        <w:t xml:space="preserve"> 这是从“0到1”的质变时刻，一项核心或颠覆性技术被证明具备商业</w:t>
      </w:r>
      <w:r w:rsidRPr="00D42722">
        <w:lastRenderedPageBreak/>
        <w:t xml:space="preserve">化潜力。其标志通常是性能实现“10倍量级”的飞跃，或出现里程碑式的应用，彻底打消市场疑虑 。   </w:t>
      </w:r>
    </w:p>
    <w:p w14:paraId="2F608E49" w14:textId="77777777" w:rsidR="00D42722" w:rsidRPr="00D42722" w:rsidRDefault="00D42722" w:rsidP="00D42722">
      <w:pPr>
        <w:numPr>
          <w:ilvl w:val="1"/>
          <w:numId w:val="10"/>
        </w:numPr>
      </w:pPr>
      <w:r w:rsidRPr="00D42722">
        <w:rPr>
          <w:b/>
          <w:bCs/>
        </w:rPr>
        <w:t>案例：</w:t>
      </w:r>
      <w:r w:rsidRPr="00D42722">
        <w:t xml:space="preserve"> 2022年底OpenAI发布的ChatGPT，其强大的自然语言交互能力，向全世界无可辩驳地证明了大语言模型（LLM）的技术可行性。这一事件直接点燃了全球对AI的投资热情，并成为微软（作为主要投资者）和英伟达（作为</w:t>
      </w:r>
      <w:proofErr w:type="gramStart"/>
      <w:r w:rsidRPr="00D42722">
        <w:t>核心算力提供</w:t>
      </w:r>
      <w:proofErr w:type="gramEnd"/>
      <w:r w:rsidRPr="00D42722">
        <w:t xml:space="preserve">商）股价开启新一轮暴涨的起点 。   </w:t>
      </w:r>
    </w:p>
    <w:p w14:paraId="263F58A5" w14:textId="77777777" w:rsidR="00D42722" w:rsidRPr="00D42722" w:rsidRDefault="00D42722" w:rsidP="00D42722">
      <w:pPr>
        <w:numPr>
          <w:ilvl w:val="0"/>
          <w:numId w:val="10"/>
        </w:numPr>
      </w:pPr>
      <w:r w:rsidRPr="00D42722">
        <w:rPr>
          <w:b/>
          <w:bCs/>
        </w:rPr>
        <w:t>催化剂2：规模化量产能力建成</w:t>
      </w:r>
    </w:p>
    <w:p w14:paraId="6738686A" w14:textId="77777777" w:rsidR="00D42722" w:rsidRPr="00D42722" w:rsidRDefault="00D42722" w:rsidP="00D42722">
      <w:pPr>
        <w:numPr>
          <w:ilvl w:val="1"/>
          <w:numId w:val="10"/>
        </w:numPr>
      </w:pPr>
      <w:r w:rsidRPr="00D42722">
        <w:rPr>
          <w:b/>
          <w:bCs/>
        </w:rPr>
        <w:t>信号：</w:t>
      </w:r>
      <w:r w:rsidRPr="00D42722">
        <w:t xml:space="preserve"> 公司成功地从实验室样品或小批量试产，跨越到大规模、稳定且具备成本效益的生产阶段。这对于硬件制造领域的科技公司尤为关键。</w:t>
      </w:r>
    </w:p>
    <w:p w14:paraId="7A0A865E" w14:textId="77777777" w:rsidR="00D42722" w:rsidRPr="00D42722" w:rsidRDefault="00D42722" w:rsidP="00D42722">
      <w:pPr>
        <w:numPr>
          <w:ilvl w:val="1"/>
          <w:numId w:val="10"/>
        </w:numPr>
      </w:pPr>
      <w:r w:rsidRPr="00D42722">
        <w:rPr>
          <w:b/>
          <w:bCs/>
        </w:rPr>
        <w:t>案例：</w:t>
      </w:r>
      <w:r w:rsidRPr="00D42722">
        <w:t xml:space="preserve"> 特斯拉上海超级工厂在2019年底的快速建成投产，是其发展史上的一个决定性转折点。它不仅解决了特斯拉长期存在的产能瓶颈，更重要的是，利用中国高效的供应链体系大幅降低了生产成本，使规模化盈利成为可能。市场对此的反应是，特斯拉的股价在2020年开启了波澜壮阔的上涨行情 。   </w:t>
      </w:r>
    </w:p>
    <w:p w14:paraId="00D1B884" w14:textId="77777777" w:rsidR="00D42722" w:rsidRPr="00D42722" w:rsidRDefault="00D42722" w:rsidP="00D42722">
      <w:pPr>
        <w:numPr>
          <w:ilvl w:val="0"/>
          <w:numId w:val="10"/>
        </w:numPr>
      </w:pPr>
      <w:r w:rsidRPr="00D42722">
        <w:rPr>
          <w:b/>
          <w:bCs/>
        </w:rPr>
        <w:t>催化剂3：业绩持续超预期</w:t>
      </w:r>
    </w:p>
    <w:p w14:paraId="08A056E1" w14:textId="77777777" w:rsidR="00D42722" w:rsidRPr="00D42722" w:rsidRDefault="00D42722" w:rsidP="00D42722">
      <w:pPr>
        <w:numPr>
          <w:ilvl w:val="1"/>
          <w:numId w:val="10"/>
        </w:numPr>
      </w:pPr>
      <w:r w:rsidRPr="00D42722">
        <w:rPr>
          <w:b/>
          <w:bCs/>
        </w:rPr>
        <w:t>信号：</w:t>
      </w:r>
      <w:r w:rsidRPr="00D42722">
        <w:t xml:space="preserve"> 公司公布的实际经营业绩（如收入、利润）连续、显著地超出市场分析师的一致预期。这通常意味着公司的商业模式已进入正向循环，经营杠杆开始显现，市场需要不断上调其盈利预测。</w:t>
      </w:r>
    </w:p>
    <w:p w14:paraId="0A31AEB0" w14:textId="77777777" w:rsidR="00D42722" w:rsidRPr="00D42722" w:rsidRDefault="00D42722" w:rsidP="00D42722">
      <w:pPr>
        <w:numPr>
          <w:ilvl w:val="1"/>
          <w:numId w:val="10"/>
        </w:numPr>
      </w:pPr>
      <w:r w:rsidRPr="00D42722">
        <w:rPr>
          <w:b/>
          <w:bCs/>
        </w:rPr>
        <w:t>案例：</w:t>
      </w:r>
      <w:r w:rsidRPr="00D42722">
        <w:t xml:space="preserve"> 比亚</w:t>
      </w:r>
      <w:proofErr w:type="gramStart"/>
      <w:r w:rsidRPr="00D42722">
        <w:t>迪</w:t>
      </w:r>
      <w:proofErr w:type="gramEnd"/>
      <w:r w:rsidRPr="00D42722">
        <w:t>在2022年至2023年期间，凭借其新能源汽车销量的爆发式增长和卓越的成本控制，多次发布远超市场预期的财报。持续的</w:t>
      </w:r>
      <w:proofErr w:type="gramStart"/>
      <w:r w:rsidRPr="00D42722">
        <w:t>业绩超</w:t>
      </w:r>
      <w:proofErr w:type="gramEnd"/>
      <w:r w:rsidRPr="00D42722">
        <w:t xml:space="preserve">预期，证明了其战略和垂直整合模式的成功，推动了股价的持续重估 。   </w:t>
      </w:r>
    </w:p>
    <w:p w14:paraId="2F0756B7" w14:textId="77777777" w:rsidR="00D42722" w:rsidRPr="00D42722" w:rsidRDefault="00D42722" w:rsidP="00D42722">
      <w:pPr>
        <w:rPr>
          <w:b/>
          <w:bCs/>
        </w:rPr>
      </w:pPr>
      <w:r w:rsidRPr="00D42722">
        <w:rPr>
          <w:b/>
          <w:bCs/>
        </w:rPr>
        <w:t>3.3 步骤三：量化机会 – 现代化的估值工具箱</w:t>
      </w:r>
    </w:p>
    <w:p w14:paraId="47967239" w14:textId="77777777" w:rsidR="00D42722" w:rsidRPr="00D42722" w:rsidRDefault="00D42722" w:rsidP="00D42722">
      <w:r w:rsidRPr="00D42722">
        <w:t>对高增长、高不确定性的科技公司进行估值，需要超越传统的市盈率（P/E）等静态指标，采用更动态、更具前瞻性的工具。</w:t>
      </w:r>
    </w:p>
    <w:p w14:paraId="71A8DEB1" w14:textId="77777777" w:rsidR="00D42722" w:rsidRPr="00D42722" w:rsidRDefault="00D42722" w:rsidP="00D42722">
      <w:pPr>
        <w:numPr>
          <w:ilvl w:val="0"/>
          <w:numId w:val="11"/>
        </w:numPr>
      </w:pPr>
      <w:r w:rsidRPr="00D42722">
        <w:rPr>
          <w:b/>
          <w:bCs/>
        </w:rPr>
        <w:t>方法论：</w:t>
      </w:r>
    </w:p>
    <w:p w14:paraId="767416B2" w14:textId="77777777" w:rsidR="00D42722" w:rsidRPr="00D42722" w:rsidRDefault="00D42722" w:rsidP="00D42722">
      <w:pPr>
        <w:numPr>
          <w:ilvl w:val="1"/>
          <w:numId w:val="11"/>
        </w:numPr>
      </w:pPr>
      <w:r w:rsidRPr="00D42722">
        <w:rPr>
          <w:b/>
          <w:bCs/>
        </w:rPr>
        <w:t>非线性增长预测：</w:t>
      </w:r>
      <w:r w:rsidRPr="00D42722">
        <w:t xml:space="preserve"> 放弃简单的线性外推，转而使用基于技术演进规律的模型。例如，对硬件公司（如特斯拉、比亚迪），可以应用</w:t>
      </w:r>
      <w:proofErr w:type="gramStart"/>
      <w:r w:rsidRPr="00D42722">
        <w:rPr>
          <w:b/>
          <w:bCs/>
        </w:rPr>
        <w:t>莱</w:t>
      </w:r>
      <w:proofErr w:type="gramEnd"/>
      <w:r w:rsidRPr="00D42722">
        <w:rPr>
          <w:b/>
          <w:bCs/>
        </w:rPr>
        <w:t>特定律（Wright's Law）</w:t>
      </w:r>
      <w:r w:rsidRPr="00D42722">
        <w:t>，即累计产量每翻一番，单位成本会以固定比例下降，从而预测未来的成本曲线和利润空间 。</w:t>
      </w:r>
      <w:proofErr w:type="gramStart"/>
      <w:r w:rsidRPr="00D42722">
        <w:t>对于算力驱动</w:t>
      </w:r>
      <w:proofErr w:type="gramEnd"/>
      <w:r w:rsidRPr="00D42722">
        <w:t>的公司（如英伟达），可以应用**摩尔定律（Moore's Law）**的扩展精神，基于AI模型参数规模或</w:t>
      </w:r>
      <w:proofErr w:type="gramStart"/>
      <w:r w:rsidRPr="00D42722">
        <w:t>算力需求的指数级</w:t>
      </w:r>
      <w:proofErr w:type="gramEnd"/>
      <w:r w:rsidRPr="00D42722">
        <w:t xml:space="preserve">增长，来预测其未来的市场空间和收入 。   </w:t>
      </w:r>
    </w:p>
    <w:p w14:paraId="5E97A82B" w14:textId="77777777" w:rsidR="00D42722" w:rsidRPr="00D42722" w:rsidRDefault="00D42722" w:rsidP="00D42722">
      <w:pPr>
        <w:numPr>
          <w:ilvl w:val="1"/>
          <w:numId w:val="11"/>
        </w:numPr>
      </w:pPr>
      <w:r w:rsidRPr="00D42722">
        <w:rPr>
          <w:b/>
          <w:bCs/>
        </w:rPr>
        <w:t>多情景分析与概率加权：</w:t>
      </w:r>
      <w:r w:rsidRPr="00D42722">
        <w:t xml:space="preserve"> 鉴于未来的不确定性，应构建多种发展情景（如乐观、中性、悲观），并为每种情景下的财务表现进行估值。然后，根据主观判断为每种情景赋予一个发生概率，最终计算出概率加权的期望估值。这种方法将风险和不确定性显式地纳入估值模型，有助于评估投资的“赔率” 。   </w:t>
      </w:r>
    </w:p>
    <w:p w14:paraId="7B1B5D0C" w14:textId="77777777" w:rsidR="00D42722" w:rsidRPr="00D42722" w:rsidRDefault="00D42722" w:rsidP="00D42722">
      <w:pPr>
        <w:numPr>
          <w:ilvl w:val="1"/>
          <w:numId w:val="11"/>
        </w:numPr>
      </w:pPr>
      <w:r w:rsidRPr="00D42722">
        <w:rPr>
          <w:b/>
          <w:bCs/>
        </w:rPr>
        <w:t>风险调整后的估值区间：</w:t>
      </w:r>
      <w:r w:rsidRPr="00D42722">
        <w:t xml:space="preserve"> 计算出的内在价值并非买入价。投资者需要一个**安全边际（Margin of Safety）**来补偿预测风险。可以在期望估值的基础上，设定一个折扣率（例如30%）来确定“买入区域”的上限。同时，可以参考乐观情景下的估值来设定“卖出区域”的下限。这样就形成了一个纪律化的操作区间 。   </w:t>
      </w:r>
    </w:p>
    <w:p w14:paraId="63CD96FC" w14:textId="77777777" w:rsidR="00D42722" w:rsidRPr="00D42722" w:rsidRDefault="00D42722" w:rsidP="00D42722">
      <w:pPr>
        <w:rPr>
          <w:b/>
          <w:bCs/>
        </w:rPr>
      </w:pPr>
      <w:r w:rsidRPr="00D42722">
        <w:rPr>
          <w:b/>
          <w:bCs/>
        </w:rPr>
        <w:t>3.4 步骤四：构建组合 – 平衡风险与信念</w:t>
      </w:r>
    </w:p>
    <w:p w14:paraId="612624AD" w14:textId="77777777" w:rsidR="00D42722" w:rsidRPr="00D42722" w:rsidRDefault="00D42722" w:rsidP="00D42722">
      <w:r w:rsidRPr="00D42722">
        <w:t>个股决策最终需要落实到投资组合的构建与管理中，以实现整体风险和收益的最优化。</w:t>
      </w:r>
    </w:p>
    <w:p w14:paraId="0F59E69B" w14:textId="77777777" w:rsidR="00D42722" w:rsidRPr="00D42722" w:rsidRDefault="00D42722" w:rsidP="00D42722">
      <w:pPr>
        <w:numPr>
          <w:ilvl w:val="0"/>
          <w:numId w:val="12"/>
        </w:numPr>
      </w:pPr>
      <w:r w:rsidRPr="00D42722">
        <w:rPr>
          <w:b/>
          <w:bCs/>
        </w:rPr>
        <w:t>方法论：</w:t>
      </w:r>
    </w:p>
    <w:p w14:paraId="06F06F0D" w14:textId="77777777" w:rsidR="00D42722" w:rsidRPr="00D42722" w:rsidRDefault="00D42722" w:rsidP="00D42722">
      <w:pPr>
        <w:numPr>
          <w:ilvl w:val="1"/>
          <w:numId w:val="12"/>
        </w:numPr>
      </w:pPr>
      <w:r w:rsidRPr="00D42722">
        <w:rPr>
          <w:b/>
          <w:bCs/>
        </w:rPr>
        <w:t>核心-卫星策略（Core-Satellite Strategy）：</w:t>
      </w:r>
      <w:r w:rsidRPr="00D42722">
        <w:t xml:space="preserve"> 这是一种经典的组合构建方法。</w:t>
      </w:r>
      <w:r w:rsidRPr="00D42722">
        <w:lastRenderedPageBreak/>
        <w:t>**“核心”</w:t>
      </w:r>
      <w:r w:rsidRPr="00D42722">
        <w:rPr>
          <w:b/>
          <w:bCs/>
        </w:rPr>
        <w:t>部分（占组合50-70%）由少数几只经过深入研究、长期看好、具有强大护城河的行业龙头组成，是组合的“压舱石”，例如英伟达、微软等。</w:t>
      </w:r>
      <w:r w:rsidRPr="00D42722">
        <w:t xml:space="preserve">“卫星”**部分（占30%以下）则用于进行更具战术性、风险更高的投资，如投资于更早期的公司或捕捉阶段性热点，以增厚组合的整体收益 。   </w:t>
      </w:r>
    </w:p>
    <w:p w14:paraId="50E0F5AD" w14:textId="77777777" w:rsidR="00D42722" w:rsidRPr="00D42722" w:rsidRDefault="00D42722" w:rsidP="00D42722">
      <w:pPr>
        <w:numPr>
          <w:ilvl w:val="1"/>
          <w:numId w:val="12"/>
        </w:numPr>
      </w:pPr>
      <w:r w:rsidRPr="00D42722">
        <w:rPr>
          <w:b/>
          <w:bCs/>
        </w:rPr>
        <w:t>动态</w:t>
      </w:r>
      <w:proofErr w:type="gramStart"/>
      <w:r w:rsidRPr="00D42722">
        <w:rPr>
          <w:b/>
          <w:bCs/>
        </w:rPr>
        <w:t>仓位</w:t>
      </w:r>
      <w:proofErr w:type="gramEnd"/>
      <w:r w:rsidRPr="00D42722">
        <w:rPr>
          <w:b/>
          <w:bCs/>
        </w:rPr>
        <w:t>管理：</w:t>
      </w:r>
      <w:r w:rsidRPr="00D42722">
        <w:t xml:space="preserve"> 根据对市场整体估值水平和宏观风险的判断，动态调整股票的总</w:t>
      </w:r>
      <w:proofErr w:type="gramStart"/>
      <w:r w:rsidRPr="00D42722">
        <w:t>仓位</w:t>
      </w:r>
      <w:proofErr w:type="gramEnd"/>
      <w:r w:rsidRPr="00D42722">
        <w:t>。同时，设定单只股票的持仓上限（如不超过组合的20%），以避免个股“黑天鹅”事件对组合造成毁灭性打击。</w:t>
      </w:r>
    </w:p>
    <w:p w14:paraId="613DD147" w14:textId="77777777" w:rsidR="00D42722" w:rsidRPr="00D42722" w:rsidRDefault="00D42722" w:rsidP="00D42722">
      <w:pPr>
        <w:numPr>
          <w:ilvl w:val="1"/>
          <w:numId w:val="12"/>
        </w:numPr>
      </w:pPr>
      <w:r w:rsidRPr="00D42722">
        <w:rPr>
          <w:b/>
          <w:bCs/>
        </w:rPr>
        <w:t>专注与分散的平衡：</w:t>
      </w:r>
      <w:r w:rsidRPr="00D42722">
        <w:t xml:space="preserve"> 组合应避免过度分散，以免研究精力不济和收益平庸化。建议采取“专注化分散”的策略，将资金集中在10-20只不同子行业、相关性较低的股票上。这样既能分散非系统性风险，又能确保核心持仓能贡献显著的超额收益 。   </w:t>
      </w:r>
    </w:p>
    <w:p w14:paraId="1B926C0F" w14:textId="77777777" w:rsidR="00D42722" w:rsidRPr="00D42722" w:rsidRDefault="00D42722" w:rsidP="00D42722">
      <w:pPr>
        <w:rPr>
          <w:b/>
          <w:bCs/>
        </w:rPr>
      </w:pPr>
      <w:r w:rsidRPr="00D42722">
        <w:rPr>
          <w:b/>
          <w:bCs/>
        </w:rPr>
        <w:t>3.5 步骤五：反馈闭环 – 一个持续优化的系统</w:t>
      </w:r>
    </w:p>
    <w:p w14:paraId="5B483811" w14:textId="77777777" w:rsidR="00D42722" w:rsidRPr="00D42722" w:rsidRDefault="00D42722" w:rsidP="00D42722">
      <w:r w:rsidRPr="00D42722">
        <w:t>一个强大的投资体系绝非一成不变，它必须是一个能够自我学习、自我进化的生命体。</w:t>
      </w:r>
    </w:p>
    <w:p w14:paraId="7C9BBBFD" w14:textId="77777777" w:rsidR="00D42722" w:rsidRPr="00D42722" w:rsidRDefault="00D42722" w:rsidP="00D42722">
      <w:pPr>
        <w:numPr>
          <w:ilvl w:val="0"/>
          <w:numId w:val="13"/>
        </w:numPr>
      </w:pPr>
      <w:r w:rsidRPr="00D42722">
        <w:rPr>
          <w:b/>
          <w:bCs/>
        </w:rPr>
        <w:t>流程：</w:t>
      </w:r>
    </w:p>
    <w:p w14:paraId="7D87D49D" w14:textId="77777777" w:rsidR="00D42722" w:rsidRPr="00D42722" w:rsidRDefault="00D42722" w:rsidP="00D42722">
      <w:pPr>
        <w:numPr>
          <w:ilvl w:val="1"/>
          <w:numId w:val="13"/>
        </w:numPr>
      </w:pPr>
      <w:r w:rsidRPr="00D42722">
        <w:rPr>
          <w:b/>
          <w:bCs/>
        </w:rPr>
        <w:t>系统性复盘：</w:t>
      </w:r>
      <w:r w:rsidRPr="00D42722">
        <w:t xml:space="preserve"> 对每一笔重要的投资决策，无论盈亏，都要进行详细的复盘。回顾最初的投资逻辑、决策过程、关键假设以及最终结果，总结经验与教训。</w:t>
      </w:r>
    </w:p>
    <w:p w14:paraId="5EF4870A" w14:textId="77777777" w:rsidR="00D42722" w:rsidRPr="00D42722" w:rsidRDefault="00D42722" w:rsidP="00D42722">
      <w:pPr>
        <w:numPr>
          <w:ilvl w:val="1"/>
          <w:numId w:val="13"/>
        </w:numPr>
      </w:pPr>
      <w:r w:rsidRPr="00D42722">
        <w:rPr>
          <w:b/>
          <w:bCs/>
        </w:rPr>
        <w:t>框架迭代：</w:t>
      </w:r>
      <w:r w:rsidRPr="00D42722">
        <w:t xml:space="preserve"> 将复盘中得到的认知反馈到投资体系中，不断修正和完善分析框架、估值模型和风险管理规则。</w:t>
      </w:r>
    </w:p>
    <w:p w14:paraId="65ED7C26" w14:textId="77777777" w:rsidR="00D42722" w:rsidRPr="00D42722" w:rsidRDefault="00D42722" w:rsidP="00D42722">
      <w:pPr>
        <w:numPr>
          <w:ilvl w:val="1"/>
          <w:numId w:val="13"/>
        </w:numPr>
      </w:pPr>
      <w:r w:rsidRPr="00D42722">
        <w:rPr>
          <w:b/>
          <w:bCs/>
        </w:rPr>
        <w:t>知识管理：</w:t>
      </w:r>
      <w:r w:rsidRPr="00D42722">
        <w:t xml:space="preserve"> 建立并维护一个“投资日志”或案例库，系统性地沉淀知识和经验。这不仅是个人成长的关键，也是团队知识传承和训练AI模型的基础 。   </w:t>
      </w:r>
    </w:p>
    <w:p w14:paraId="62C09EC3" w14:textId="77777777" w:rsidR="00D42722" w:rsidRPr="00D42722" w:rsidRDefault="00D42722" w:rsidP="00D42722">
      <w:r w:rsidRPr="00D42722">
        <w:t>通过这五个环环相扣的步骤，投资者可以建立一个从宏观到微观、从定性到定量、从决策到反馈的完整闭环，从而系统性地提升在技术革命浪潮中的投资表现。</w:t>
      </w:r>
    </w:p>
    <w:p w14:paraId="12977A55" w14:textId="77777777" w:rsidR="00D42722" w:rsidRPr="00D42722" w:rsidRDefault="00D42722" w:rsidP="00D42722">
      <w:pPr>
        <w:rPr>
          <w:b/>
          <w:bCs/>
        </w:rPr>
      </w:pPr>
      <w:r w:rsidRPr="00D42722">
        <w:rPr>
          <w:b/>
          <w:bCs/>
        </w:rPr>
        <w:t>第四部分：当前革命的案例研究：框架应用</w:t>
      </w:r>
    </w:p>
    <w:p w14:paraId="583CBA09" w14:textId="77777777" w:rsidR="00D42722" w:rsidRPr="00D42722" w:rsidRDefault="00D42722" w:rsidP="00D42722">
      <w:r w:rsidRPr="00D42722">
        <w:t>本部分将运用上述五步投资流程，对当前技术革命中的四家核心企业——英伟达、特斯拉、比亚迪和微软——进行深入的案例剖析。这些案例不仅验证了框架的有效性，也揭示了不同商业模式和竞争策略在现实世界中的具体表现。</w:t>
      </w:r>
    </w:p>
    <w:p w14:paraId="2CB9DD16" w14:textId="77777777" w:rsidR="00D42722" w:rsidRPr="00D42722" w:rsidRDefault="00D42722" w:rsidP="00D42722">
      <w:pPr>
        <w:rPr>
          <w:b/>
          <w:bCs/>
        </w:rPr>
      </w:pPr>
      <w:r w:rsidRPr="00D42722">
        <w:rPr>
          <w:b/>
          <w:bCs/>
        </w:rPr>
        <w:t>4.1 赋能者：</w:t>
      </w:r>
      <w:proofErr w:type="gramStart"/>
      <w:r w:rsidRPr="00D42722">
        <w:rPr>
          <w:b/>
          <w:bCs/>
        </w:rPr>
        <w:t>英伟达</w:t>
      </w:r>
      <w:proofErr w:type="gramEnd"/>
      <w:r w:rsidRPr="00D42722">
        <w:rPr>
          <w:b/>
          <w:bCs/>
        </w:rPr>
        <w:t>与AI硬件的超级周期</w:t>
      </w:r>
    </w:p>
    <w:p w14:paraId="71636B75" w14:textId="77777777" w:rsidR="00D42722" w:rsidRPr="00D42722" w:rsidRDefault="00D42722" w:rsidP="00D42722">
      <w:pPr>
        <w:numPr>
          <w:ilvl w:val="0"/>
          <w:numId w:val="14"/>
        </w:numPr>
      </w:pPr>
      <w:r w:rsidRPr="00D42722">
        <w:rPr>
          <w:b/>
          <w:bCs/>
        </w:rPr>
        <w:t>步骤</w:t>
      </w:r>
      <w:proofErr w:type="gramStart"/>
      <w:r w:rsidRPr="00D42722">
        <w:rPr>
          <w:b/>
          <w:bCs/>
        </w:rPr>
        <w:t>一</w:t>
      </w:r>
      <w:proofErr w:type="gramEnd"/>
      <w:r w:rsidRPr="00D42722">
        <w:rPr>
          <w:b/>
          <w:bCs/>
        </w:rPr>
        <w:t>（识别浪潮）：</w:t>
      </w:r>
      <w:r w:rsidRPr="00D42722">
        <w:t xml:space="preserve"> 人工智能革命正清晰地处于卡萝塔·佩雷丝周期模型中的**“狂热期”**。其标志包括：风险投资以前所未有的规模涌入AI领域 ，相关公司股价飙升至历史高位，估值远超传统标准 ，以及从专业媒体到普通大众对AI的普遍狂热讨论和极高期望 。   </w:t>
      </w:r>
    </w:p>
    <w:p w14:paraId="0E1E58E0" w14:textId="77777777" w:rsidR="00D42722" w:rsidRPr="00D42722" w:rsidRDefault="00D42722" w:rsidP="00D42722">
      <w:pPr>
        <w:numPr>
          <w:ilvl w:val="0"/>
          <w:numId w:val="14"/>
        </w:numPr>
      </w:pPr>
      <w:r w:rsidRPr="00D42722">
        <w:rPr>
          <w:b/>
          <w:bCs/>
        </w:rPr>
        <w:t>步骤二（定位时点）：</w:t>
      </w:r>
      <w:r w:rsidRPr="00D42722">
        <w:t xml:space="preserve"> 对于</w:t>
      </w:r>
      <w:proofErr w:type="gramStart"/>
      <w:r w:rsidRPr="00D42722">
        <w:t>英伟达而言</w:t>
      </w:r>
      <w:proofErr w:type="gramEnd"/>
      <w:r w:rsidRPr="00D42722">
        <w:t>，历史性的切入点是**“技术可行性得到验证”的催化剂。2022年底ChatGPT的发布，向世界证明了大规模生成式AI的巨大潜力，并瞬间引爆了对高性能计算芯片的无尽需求，而</w:t>
      </w:r>
      <w:proofErr w:type="gramStart"/>
      <w:r w:rsidRPr="00D42722">
        <w:t>英伟达</w:t>
      </w:r>
      <w:proofErr w:type="gramEnd"/>
      <w:r w:rsidRPr="00D42722">
        <w:t>是这一需求的唯一规模化供应商 。此后，</w:t>
      </w:r>
      <w:proofErr w:type="gramStart"/>
      <w:r w:rsidRPr="00D42722">
        <w:t>英伟达进入</w:t>
      </w:r>
      <w:proofErr w:type="gramEnd"/>
      <w:r w:rsidRPr="00D42722">
        <w:t xml:space="preserve">了持续的   </w:t>
      </w:r>
    </w:p>
    <w:p w14:paraId="3D44361C" w14:textId="77777777" w:rsidR="00D42722" w:rsidRPr="00D42722" w:rsidRDefault="00D42722" w:rsidP="00D42722">
      <w:r w:rsidRPr="00D42722">
        <w:t xml:space="preserve">“业绩超预期”**阶段，其数据中心业务收入连续多个季度以三位数的惊人速度增长，不断打破市场预期 。   </w:t>
      </w:r>
    </w:p>
    <w:p w14:paraId="7CDC9481" w14:textId="77777777" w:rsidR="00D42722" w:rsidRPr="00D42722" w:rsidRDefault="00D42722" w:rsidP="00D42722">
      <w:pPr>
        <w:numPr>
          <w:ilvl w:val="0"/>
          <w:numId w:val="14"/>
        </w:numPr>
      </w:pPr>
      <w:r w:rsidRPr="00D42722">
        <w:rPr>
          <w:b/>
          <w:bCs/>
        </w:rPr>
        <w:t>步骤三（量化机会）：</w:t>
      </w:r>
      <w:r w:rsidRPr="00D42722">
        <w:t xml:space="preserve"> 对</w:t>
      </w:r>
      <w:proofErr w:type="gramStart"/>
      <w:r w:rsidRPr="00D42722">
        <w:t>英伟达</w:t>
      </w:r>
      <w:proofErr w:type="gramEnd"/>
      <w:r w:rsidRPr="00D42722">
        <w:t>的估值必须采用非线性预测模型。其增长动力源于AI模型复杂度的</w:t>
      </w:r>
      <w:proofErr w:type="gramStart"/>
      <w:r w:rsidRPr="00D42722">
        <w:t>指数级</w:t>
      </w:r>
      <w:proofErr w:type="gramEnd"/>
      <w:r w:rsidRPr="00D42722">
        <w:t>提升，这意味着</w:t>
      </w:r>
      <w:proofErr w:type="gramStart"/>
      <w:r w:rsidRPr="00D42722">
        <w:t>对算力的</w:t>
      </w:r>
      <w:proofErr w:type="gramEnd"/>
      <w:r w:rsidRPr="00D42722">
        <w:t>需求也将呈</w:t>
      </w:r>
      <w:proofErr w:type="gramStart"/>
      <w:r w:rsidRPr="00D42722">
        <w:t>指数级</w:t>
      </w:r>
      <w:proofErr w:type="gramEnd"/>
      <w:r w:rsidRPr="00D42722">
        <w:t>增长。多情景分析中，必须充分考虑几大变量：1）来自AMD、英特尔等竞争对手的追赶压力 ；2) 亚马逊、谷歌等超大规模</w:t>
      </w:r>
      <w:proofErr w:type="gramStart"/>
      <w:r w:rsidRPr="00D42722">
        <w:t>云服务</w:t>
      </w:r>
      <w:proofErr w:type="gramEnd"/>
      <w:r w:rsidRPr="00D42722">
        <w:t>商自</w:t>
      </w:r>
      <w:proofErr w:type="gramStart"/>
      <w:r w:rsidRPr="00D42722">
        <w:t>研</w:t>
      </w:r>
      <w:proofErr w:type="gramEnd"/>
      <w:r w:rsidRPr="00D42722">
        <w:t xml:space="preserve">芯片的替代风险 ；3) 地缘政治风险，尤其是美国对华高端芯片的出口管制政策，可能影响其长期市场空间 。   </w:t>
      </w:r>
    </w:p>
    <w:p w14:paraId="353A0BE1" w14:textId="77777777" w:rsidR="00D42722" w:rsidRPr="00D42722" w:rsidRDefault="00D42722" w:rsidP="00D42722">
      <w:pPr>
        <w:numPr>
          <w:ilvl w:val="0"/>
          <w:numId w:val="14"/>
        </w:numPr>
      </w:pPr>
      <w:r w:rsidRPr="00D42722">
        <w:rPr>
          <w:b/>
          <w:bCs/>
        </w:rPr>
        <w:t>步骤四（组合构建）：</w:t>
      </w:r>
      <w:r w:rsidRPr="00D42722">
        <w:t xml:space="preserve"> </w:t>
      </w:r>
      <w:proofErr w:type="gramStart"/>
      <w:r w:rsidRPr="00D42722">
        <w:t>英伟达</w:t>
      </w:r>
      <w:proofErr w:type="gramEnd"/>
      <w:r w:rsidRPr="00D42722">
        <w:t>是典型的**“核心”**持仓标的。其核心竞争力在于围绕CUDA软件平台构建的、深不可测的生态护城河，这使得开发者和应用高度依赖其</w:t>
      </w:r>
      <w:r w:rsidRPr="00D42722">
        <w:lastRenderedPageBreak/>
        <w:t>硬件，形成了强大的网络效应和客户锁定 。然而，考虑到其极高的估值和市场所处的“狂热期”，投资者应运用“交易员视角”进行审慎的</w:t>
      </w:r>
      <w:proofErr w:type="gramStart"/>
      <w:r w:rsidRPr="00D42722">
        <w:t>仓位</w:t>
      </w:r>
      <w:proofErr w:type="gramEnd"/>
      <w:r w:rsidRPr="00D42722">
        <w:t>管理，避免在市场情绪最高点过度追高，并可考虑在极端乐观时适度削减</w:t>
      </w:r>
      <w:proofErr w:type="gramStart"/>
      <w:r w:rsidRPr="00D42722">
        <w:t>仓位</w:t>
      </w:r>
      <w:proofErr w:type="gramEnd"/>
      <w:r w:rsidRPr="00D42722">
        <w:t xml:space="preserve">以管理风险。   </w:t>
      </w:r>
    </w:p>
    <w:p w14:paraId="0EE689B0" w14:textId="77777777" w:rsidR="00D42722" w:rsidRPr="00D42722" w:rsidRDefault="00D42722" w:rsidP="00D42722">
      <w:pPr>
        <w:numPr>
          <w:ilvl w:val="0"/>
          <w:numId w:val="14"/>
        </w:numPr>
      </w:pPr>
      <w:r w:rsidRPr="00D42722">
        <w:rPr>
          <w:b/>
          <w:bCs/>
        </w:rPr>
        <w:t>步骤五（反馈闭环）：</w:t>
      </w:r>
      <w:r w:rsidRPr="00D42722">
        <w:t xml:space="preserve"> 持续跟踪的关键变量是</w:t>
      </w:r>
      <w:r w:rsidRPr="00D42722">
        <w:rPr>
          <w:b/>
          <w:bCs/>
        </w:rPr>
        <w:t>CUDA护城河的稳固性</w:t>
      </w:r>
      <w:r w:rsidRPr="00D42722">
        <w:t>。任何迹象表明主要客户（如</w:t>
      </w:r>
      <w:proofErr w:type="gramStart"/>
      <w:r w:rsidRPr="00D42722">
        <w:t>大型云</w:t>
      </w:r>
      <w:proofErr w:type="gramEnd"/>
      <w:r w:rsidRPr="00D42722">
        <w:t>厂商或AI实验室）正在成功地将关键工作负载大规模迁移到AMD的</w:t>
      </w:r>
      <w:proofErr w:type="spellStart"/>
      <w:r w:rsidRPr="00D42722">
        <w:t>ROCm</w:t>
      </w:r>
      <w:proofErr w:type="spellEnd"/>
      <w:r w:rsidRPr="00D42722">
        <w:t>或其他替代平台，都将是对</w:t>
      </w:r>
      <w:proofErr w:type="gramStart"/>
      <w:r w:rsidRPr="00D42722">
        <w:t>英伟达核心投资</w:t>
      </w:r>
      <w:proofErr w:type="gramEnd"/>
      <w:r w:rsidRPr="00D42722">
        <w:t>逻辑的重大挑战，需要立即重新评估其长期价值。</w:t>
      </w:r>
    </w:p>
    <w:p w14:paraId="3D3CDB56" w14:textId="77777777" w:rsidR="00D42722" w:rsidRPr="00D42722" w:rsidRDefault="00D42722" w:rsidP="00D42722">
      <w:pPr>
        <w:rPr>
          <w:b/>
          <w:bCs/>
        </w:rPr>
      </w:pPr>
      <w:r w:rsidRPr="00D42722">
        <w:rPr>
          <w:b/>
          <w:bCs/>
        </w:rPr>
        <w:t>4.2 颠覆者：特斯拉与比亚迪在电动汽车革命中的对决</w:t>
      </w:r>
    </w:p>
    <w:p w14:paraId="62B74722" w14:textId="77777777" w:rsidR="00D42722" w:rsidRPr="00D42722" w:rsidRDefault="00D42722" w:rsidP="00D42722">
      <w:pPr>
        <w:numPr>
          <w:ilvl w:val="0"/>
          <w:numId w:val="15"/>
        </w:numPr>
      </w:pPr>
      <w:r w:rsidRPr="00D42722">
        <w:rPr>
          <w:b/>
          <w:bCs/>
        </w:rPr>
        <w:t>步骤</w:t>
      </w:r>
      <w:proofErr w:type="gramStart"/>
      <w:r w:rsidRPr="00D42722">
        <w:rPr>
          <w:b/>
          <w:bCs/>
        </w:rPr>
        <w:t>一</w:t>
      </w:r>
      <w:proofErr w:type="gramEnd"/>
      <w:r w:rsidRPr="00D42722">
        <w:rPr>
          <w:b/>
          <w:bCs/>
        </w:rPr>
        <w:t>（识别浪潮）：</w:t>
      </w:r>
      <w:r w:rsidRPr="00D42722">
        <w:t xml:space="preserve"> 电动汽车（EV）革命已经越过了“狂热期”，目前正处于**“转折点”</w:t>
      </w:r>
      <w:r w:rsidRPr="00D42722">
        <w:rPr>
          <w:b/>
          <w:bCs/>
        </w:rPr>
        <w:t>与早期</w:t>
      </w:r>
      <w:r w:rsidRPr="00D42722">
        <w:t xml:space="preserve">“协同阶段”**的过渡地带。市场焦点已从对未来的美好幻想转向残酷的现实：竞争白热化，规模化生产、成本控制和盈利能力成为生存的关键 。   </w:t>
      </w:r>
    </w:p>
    <w:p w14:paraId="2C30DBD6" w14:textId="77777777" w:rsidR="00D42722" w:rsidRPr="00D42722" w:rsidRDefault="00D42722" w:rsidP="00D42722">
      <w:pPr>
        <w:numPr>
          <w:ilvl w:val="0"/>
          <w:numId w:val="15"/>
        </w:numPr>
      </w:pPr>
      <w:r w:rsidRPr="00D42722">
        <w:rPr>
          <w:b/>
          <w:bCs/>
        </w:rPr>
        <w:t>步骤二（定位时点）：</w:t>
      </w:r>
      <w:r w:rsidRPr="00D42722">
        <w:t xml:space="preserve"> 两家公司的关键价值重</w:t>
      </w:r>
      <w:proofErr w:type="gramStart"/>
      <w:r w:rsidRPr="00D42722">
        <w:t>估时刻</w:t>
      </w:r>
      <w:proofErr w:type="gramEnd"/>
      <w:r w:rsidRPr="00D42722">
        <w:t>不同。对特斯拉而言，是2019年底上海超级工厂投产所代表的**“规模化量产能力建成”，这标志着它从一个小众品牌转型为能够主导市场的工业巨头 。对比亚</w:t>
      </w:r>
      <w:proofErr w:type="gramStart"/>
      <w:r w:rsidRPr="00D42722">
        <w:t>迪</w:t>
      </w:r>
      <w:proofErr w:type="gramEnd"/>
      <w:r w:rsidRPr="00D42722">
        <w:t xml:space="preserve">而言，则是2022-2023年的   </w:t>
      </w:r>
    </w:p>
    <w:p w14:paraId="696E7D93" w14:textId="77777777" w:rsidR="00D42722" w:rsidRPr="00D42722" w:rsidRDefault="00D42722" w:rsidP="00D42722">
      <w:r w:rsidRPr="00D42722">
        <w:t xml:space="preserve">“业绩持续超预期”**，这证明了其垂直整合模式在激烈价格战中依然能保持强大盈利能力，打破了市场对其“增收不增利”的疑虑 。   </w:t>
      </w:r>
    </w:p>
    <w:p w14:paraId="4ED472A1" w14:textId="77777777" w:rsidR="00D42722" w:rsidRPr="00D42722" w:rsidRDefault="00D42722" w:rsidP="00D42722">
      <w:pPr>
        <w:numPr>
          <w:ilvl w:val="0"/>
          <w:numId w:val="15"/>
        </w:numPr>
      </w:pPr>
      <w:r w:rsidRPr="00D42722">
        <w:rPr>
          <w:b/>
          <w:bCs/>
        </w:rPr>
        <w:t>步骤三（量化机会）：</w:t>
      </w:r>
    </w:p>
    <w:p w14:paraId="473E587D" w14:textId="77777777" w:rsidR="00D42722" w:rsidRPr="00D42722" w:rsidRDefault="00D42722" w:rsidP="00D42722">
      <w:pPr>
        <w:numPr>
          <w:ilvl w:val="1"/>
          <w:numId w:val="15"/>
        </w:numPr>
      </w:pPr>
      <w:r w:rsidRPr="00D42722">
        <w:rPr>
          <w:b/>
          <w:bCs/>
        </w:rPr>
        <w:t>特斯拉：</w:t>
      </w:r>
      <w:r w:rsidRPr="00D42722">
        <w:t xml:space="preserve"> 其估值是一个“双重故事”。一部分是作为汽车制造商的价值，其利润率正受到竞争加剧和降价策略的挤压 。另一部分，也是更具想象空间的部分，是作为一家人工智能和机器人公司的期权价值，这取决于其全自动驾驶（FSD）软件和Optimus人形机器人的最终成功 。因此，对其估值必须采用严格的多情景分析，分别评估其在不同技术路径下的终局价值。其4680电池的成本和量产进度 与FSD的技术进展 是影响估值的核心变量。   </w:t>
      </w:r>
    </w:p>
    <w:p w14:paraId="3DD5909F" w14:textId="77777777" w:rsidR="00D42722" w:rsidRPr="00D42722" w:rsidRDefault="00D42722" w:rsidP="00D42722">
      <w:pPr>
        <w:numPr>
          <w:ilvl w:val="1"/>
          <w:numId w:val="15"/>
        </w:numPr>
      </w:pPr>
      <w:r w:rsidRPr="00D42722">
        <w:rPr>
          <w:b/>
          <w:bCs/>
        </w:rPr>
        <w:t>比亚迪：</w:t>
      </w:r>
      <w:r w:rsidRPr="00D42722">
        <w:t xml:space="preserve"> 其估值更为扎实，主要根植于其无与伦比的制造成本优势，这来源于其高度垂直整合的供应链，覆盖了从电池、芯片到整车组装的几乎所有环节 。</w:t>
      </w:r>
      <w:proofErr w:type="gramStart"/>
      <w:r w:rsidRPr="00D42722">
        <w:t>莱</w:t>
      </w:r>
      <w:proofErr w:type="gramEnd"/>
      <w:r w:rsidRPr="00D42722">
        <w:t>特定</w:t>
      </w:r>
      <w:proofErr w:type="gramStart"/>
      <w:r w:rsidRPr="00D42722">
        <w:t>律非常</w:t>
      </w:r>
      <w:proofErr w:type="gramEnd"/>
      <w:r w:rsidRPr="00D42722">
        <w:t xml:space="preserve">适用于分析比亚迪的成本下降曲线。其面临的主要风险在于，能否将其在中国市场的巨大成功复制到海外，尤其是在面临贸易壁垒和文化差异的欧洲市场 。   </w:t>
      </w:r>
    </w:p>
    <w:p w14:paraId="4519FC1A" w14:textId="77777777" w:rsidR="00D42722" w:rsidRPr="00D42722" w:rsidRDefault="00D42722" w:rsidP="00D42722">
      <w:r w:rsidRPr="00D42722">
        <w:t>这场对</w:t>
      </w:r>
      <w:proofErr w:type="gramStart"/>
      <w:r w:rsidRPr="00D42722">
        <w:t>决并非零</w:t>
      </w:r>
      <w:proofErr w:type="gramEnd"/>
      <w:r w:rsidRPr="00D42722">
        <w:t>和游戏，它完美地复刻了智能手机时代的竞争格局。特斯拉如同</w:t>
      </w:r>
      <w:r w:rsidRPr="00D42722">
        <w:rPr>
          <w:b/>
          <w:bCs/>
        </w:rPr>
        <w:t>苹果</w:t>
      </w:r>
      <w:r w:rsidRPr="00D42722">
        <w:t xml:space="preserve">，凭借强大的品牌、卓越的用户体验和软硬件一体化，主导着高端市场，享受着高利润率 。而比亚迪则像是   </w:t>
      </w:r>
    </w:p>
    <w:p w14:paraId="10E95135" w14:textId="77777777" w:rsidR="00D42722" w:rsidRPr="00D42722" w:rsidRDefault="00D42722" w:rsidP="00D42722">
      <w:proofErr w:type="gramStart"/>
      <w:r w:rsidRPr="00D42722">
        <w:rPr>
          <w:b/>
          <w:bCs/>
        </w:rPr>
        <w:t>安卓阵营</w:t>
      </w:r>
      <w:proofErr w:type="gramEnd"/>
      <w:r w:rsidRPr="00D42722">
        <w:t>（尤其是三星），利用其供应链的绝对控制力和成本优势，推出了覆盖从低端到高端的庞大产品矩阵，以高性价比和规模化策略占领了更广泛的大众市场 。正如智能手机市场足够容纳苹果和安卓两大生态系统共同繁荣，全球电动汽车市场的广阔空间也足以让特斯拉和比亚迪这两种截然不同的商业模式共存并取得成功。投资决策的关键，不在于</w:t>
      </w:r>
      <w:proofErr w:type="gramStart"/>
      <w:r w:rsidRPr="00D42722">
        <w:t>押注谁将</w:t>
      </w:r>
      <w:proofErr w:type="gramEnd"/>
      <w:r w:rsidRPr="00D42722">
        <w:t xml:space="preserve">“杀死”谁，而在于理解在特定市场阶段，哪种模式的价值被市场低估了。   </w:t>
      </w:r>
    </w:p>
    <w:p w14:paraId="61DD16F9" w14:textId="77777777" w:rsidR="00D42722" w:rsidRPr="00D42722" w:rsidRDefault="00D42722" w:rsidP="00D42722">
      <w:pPr>
        <w:rPr>
          <w:b/>
          <w:bCs/>
        </w:rPr>
      </w:pPr>
      <w:r w:rsidRPr="00D42722">
        <w:rPr>
          <w:b/>
          <w:bCs/>
        </w:rPr>
        <w:t>4.3 平台与创新者：</w:t>
      </w:r>
      <w:proofErr w:type="gramStart"/>
      <w:r w:rsidRPr="00D42722">
        <w:rPr>
          <w:b/>
          <w:bCs/>
        </w:rPr>
        <w:t>微软与拼多多</w:t>
      </w:r>
      <w:proofErr w:type="gramEnd"/>
    </w:p>
    <w:p w14:paraId="79C73B8D" w14:textId="77777777" w:rsidR="00D42722" w:rsidRPr="00D42722" w:rsidRDefault="00D42722" w:rsidP="00D42722">
      <w:pPr>
        <w:numPr>
          <w:ilvl w:val="0"/>
          <w:numId w:val="16"/>
        </w:numPr>
      </w:pPr>
      <w:r w:rsidRPr="00D42722">
        <w:rPr>
          <w:b/>
          <w:bCs/>
        </w:rPr>
        <w:t>微软：</w:t>
      </w:r>
      <w:r w:rsidRPr="00D42722">
        <w:t xml:space="preserve"> 微软代表了</w:t>
      </w:r>
      <w:r w:rsidRPr="00D42722">
        <w:rPr>
          <w:b/>
          <w:bCs/>
        </w:rPr>
        <w:t>成熟巨头</w:t>
      </w:r>
      <w:r w:rsidRPr="00D42722">
        <w:t>在面对新技术革命时的**“协同阶段”**战略。它并非AI核心模型（如GPT系列）的原始创造者，但它通过对OpenAI的战略投资和深度合作，巧妙地利用其强大的金融资本换取了对前沿生产资本（即OpenAI的技术创新）的优先使用权 。微软的核心战略是将这些先进的AI能力，通过其无与伦比的分销渠道——Azure云平台和Office 365办公套件（现已集成Copilot）——部署到全球数以亿计的企业和个人用户中，从而在AI应用的浪潮中获取巨大价值 。其财务数据清晰地显示，智能云（Intelligent Cloud）部门的增长正受到AI服务的显著推动 。</w:t>
      </w:r>
      <w:r w:rsidRPr="00D42722">
        <w:lastRenderedPageBreak/>
        <w:t xml:space="preserve">对微软而言，最大的风险在于其与OpenAI合作关系的稳定性和排他性，任何变化都可能影响其AI战略的根基 。   </w:t>
      </w:r>
    </w:p>
    <w:p w14:paraId="6B447C0B" w14:textId="77777777" w:rsidR="00D42722" w:rsidRPr="00D42722" w:rsidRDefault="00D42722" w:rsidP="00D42722">
      <w:pPr>
        <w:numPr>
          <w:ilvl w:val="0"/>
          <w:numId w:val="16"/>
        </w:numPr>
      </w:pPr>
      <w:r w:rsidRPr="00D42722">
        <w:rPr>
          <w:b/>
          <w:bCs/>
        </w:rPr>
        <w:t>拼多多（PDD）：</w:t>
      </w:r>
      <w:r w:rsidRPr="00D42722">
        <w:t xml:space="preserve"> 拼多多则是</w:t>
      </w:r>
      <w:r w:rsidRPr="00D42722">
        <w:rPr>
          <w:b/>
          <w:bCs/>
        </w:rPr>
        <w:t>商业模式创新</w:t>
      </w:r>
      <w:r w:rsidRPr="00D42722">
        <w:t>的典范，它的崛起是上一轮技术革命（移动互联网）的产物。其开创的C2M（用户直连制造）和社交</w:t>
      </w:r>
      <w:proofErr w:type="gramStart"/>
      <w:r w:rsidRPr="00D42722">
        <w:t>拼团模式</w:t>
      </w:r>
      <w:proofErr w:type="gramEnd"/>
      <w:r w:rsidRPr="00D42722">
        <w:t>，在阿里巴巴和京东主导的电商市场中，通过极致的低价和独特的社交裂变玩法，创造了一个新的商业范式 。当前，拼</w:t>
      </w:r>
      <w:proofErr w:type="gramStart"/>
      <w:r w:rsidRPr="00D42722">
        <w:t>多多正</w:t>
      </w:r>
      <w:proofErr w:type="gramEnd"/>
      <w:r w:rsidRPr="00D42722">
        <w:t>试图通过其海外平台</w:t>
      </w:r>
      <w:proofErr w:type="spellStart"/>
      <w:r w:rsidRPr="00D42722">
        <w:t>Temu</w:t>
      </w:r>
      <w:proofErr w:type="spellEnd"/>
      <w:r w:rsidRPr="00D42722">
        <w:t>，将这一成功的本土模式复制到全球 。然而，这一国际化扩张面临着来自监管、知识产权、供应链管理以及激烈市场竞争的巨大挑战。其近期的财务报告显示，尽管收入增长依然强劲，但为支持</w:t>
      </w:r>
      <w:proofErr w:type="spellStart"/>
      <w:r w:rsidRPr="00D42722">
        <w:t>Temu</w:t>
      </w:r>
      <w:proofErr w:type="spellEnd"/>
      <w:r w:rsidRPr="00D42722">
        <w:t xml:space="preserve">的扩张而进行的大规模投资，已对其利润率造成了显著压力 。   </w:t>
      </w:r>
    </w:p>
    <w:p w14:paraId="3D579A86" w14:textId="77777777" w:rsidR="00D42722" w:rsidRPr="00D42722" w:rsidRDefault="00D42722" w:rsidP="00D42722">
      <w:pPr>
        <w:rPr>
          <w:b/>
          <w:bCs/>
        </w:rPr>
      </w:pPr>
      <w:r w:rsidRPr="00D42722">
        <w:rPr>
          <w:b/>
          <w:bCs/>
        </w:rPr>
        <w:t>表2：关键技术领导者对比分析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1501"/>
        <w:gridCol w:w="1014"/>
        <w:gridCol w:w="1513"/>
        <w:gridCol w:w="1016"/>
        <w:gridCol w:w="970"/>
        <w:gridCol w:w="1134"/>
      </w:tblGrid>
      <w:tr w:rsidR="00D42722" w:rsidRPr="00D42722" w14:paraId="47F24D59" w14:textId="77777777" w:rsidTr="00D42722">
        <w:trPr>
          <w:tblHeader/>
          <w:tblCellSpacing w:w="15" w:type="dxa"/>
        </w:trPr>
        <w:tc>
          <w:tcPr>
            <w:tcW w:w="0" w:type="auto"/>
            <w:vAlign w:val="center"/>
            <w:hideMark/>
          </w:tcPr>
          <w:p w14:paraId="64CFC924" w14:textId="77777777" w:rsidR="00D42722" w:rsidRPr="00D42722" w:rsidRDefault="00D42722" w:rsidP="00D42722">
            <w:r w:rsidRPr="00D42722">
              <w:t>公司</w:t>
            </w:r>
          </w:p>
        </w:tc>
        <w:tc>
          <w:tcPr>
            <w:tcW w:w="0" w:type="auto"/>
            <w:vAlign w:val="center"/>
            <w:hideMark/>
          </w:tcPr>
          <w:p w14:paraId="12644857" w14:textId="77777777" w:rsidR="00D42722" w:rsidRPr="00D42722" w:rsidRDefault="00D42722" w:rsidP="00D42722">
            <w:r w:rsidRPr="00D42722">
              <w:t>革命中的角色</w:t>
            </w:r>
          </w:p>
        </w:tc>
        <w:tc>
          <w:tcPr>
            <w:tcW w:w="0" w:type="auto"/>
            <w:vAlign w:val="center"/>
            <w:hideMark/>
          </w:tcPr>
          <w:p w14:paraId="2C37F86A" w14:textId="77777777" w:rsidR="00D42722" w:rsidRPr="00D42722" w:rsidRDefault="00D42722" w:rsidP="00D42722">
            <w:r w:rsidRPr="00D42722">
              <w:t>主要护城河</w:t>
            </w:r>
          </w:p>
        </w:tc>
        <w:tc>
          <w:tcPr>
            <w:tcW w:w="0" w:type="auto"/>
            <w:vAlign w:val="center"/>
            <w:hideMark/>
          </w:tcPr>
          <w:p w14:paraId="7A41C6EE" w14:textId="77777777" w:rsidR="00D42722" w:rsidRPr="00D42722" w:rsidRDefault="00D42722" w:rsidP="00D42722">
            <w:r w:rsidRPr="00D42722">
              <w:t>当前佩雷丝阶段</w:t>
            </w:r>
          </w:p>
        </w:tc>
        <w:tc>
          <w:tcPr>
            <w:tcW w:w="0" w:type="auto"/>
            <w:vAlign w:val="center"/>
            <w:hideMark/>
          </w:tcPr>
          <w:p w14:paraId="4879A327" w14:textId="77777777" w:rsidR="00D42722" w:rsidRPr="00D42722" w:rsidRDefault="00D42722" w:rsidP="00D42722">
            <w:r w:rsidRPr="00D42722">
              <w:t>关键增长驱动力</w:t>
            </w:r>
          </w:p>
        </w:tc>
        <w:tc>
          <w:tcPr>
            <w:tcW w:w="0" w:type="auto"/>
            <w:vAlign w:val="center"/>
            <w:hideMark/>
          </w:tcPr>
          <w:p w14:paraId="7D74F165" w14:textId="77777777" w:rsidR="00D42722" w:rsidRPr="00D42722" w:rsidRDefault="00D42722" w:rsidP="00D42722">
            <w:r w:rsidRPr="00D42722">
              <w:t>主要风险</w:t>
            </w:r>
          </w:p>
        </w:tc>
        <w:tc>
          <w:tcPr>
            <w:tcW w:w="0" w:type="auto"/>
            <w:vAlign w:val="center"/>
            <w:hideMark/>
          </w:tcPr>
          <w:p w14:paraId="0A5DB4EB" w14:textId="77777777" w:rsidR="00D42722" w:rsidRPr="00D42722" w:rsidRDefault="00D42722" w:rsidP="00D42722">
            <w:r w:rsidRPr="00D42722">
              <w:t>关键估值指标</w:t>
            </w:r>
          </w:p>
        </w:tc>
      </w:tr>
      <w:tr w:rsidR="00D42722" w:rsidRPr="00D42722" w14:paraId="5ABA18E7" w14:textId="77777777" w:rsidTr="00D42722">
        <w:trPr>
          <w:tblCellSpacing w:w="15" w:type="dxa"/>
        </w:trPr>
        <w:tc>
          <w:tcPr>
            <w:tcW w:w="0" w:type="auto"/>
            <w:vAlign w:val="center"/>
            <w:hideMark/>
          </w:tcPr>
          <w:p w14:paraId="358E2F17" w14:textId="77777777" w:rsidR="00D42722" w:rsidRPr="00D42722" w:rsidRDefault="00D42722" w:rsidP="00D42722">
            <w:proofErr w:type="gramStart"/>
            <w:r w:rsidRPr="00D42722">
              <w:rPr>
                <w:b/>
                <w:bCs/>
              </w:rPr>
              <w:t>英伟达</w:t>
            </w:r>
            <w:proofErr w:type="gramEnd"/>
            <w:r w:rsidRPr="00D42722">
              <w:rPr>
                <w:b/>
                <w:bCs/>
              </w:rPr>
              <w:t xml:space="preserve"> (NVIDIA)</w:t>
            </w:r>
          </w:p>
        </w:tc>
        <w:tc>
          <w:tcPr>
            <w:tcW w:w="0" w:type="auto"/>
            <w:vAlign w:val="center"/>
            <w:hideMark/>
          </w:tcPr>
          <w:p w14:paraId="2AB16471" w14:textId="77777777" w:rsidR="00D42722" w:rsidRPr="00D42722" w:rsidRDefault="00D42722" w:rsidP="00D42722">
            <w:r w:rsidRPr="00D42722">
              <w:rPr>
                <w:b/>
                <w:bCs/>
              </w:rPr>
              <w:t>赋能者 (Enabler)</w:t>
            </w:r>
            <w:r w:rsidRPr="00D42722">
              <w:t>：提供AI革命的“铁锹和镐”</w:t>
            </w:r>
          </w:p>
        </w:tc>
        <w:tc>
          <w:tcPr>
            <w:tcW w:w="0" w:type="auto"/>
            <w:vAlign w:val="center"/>
            <w:hideMark/>
          </w:tcPr>
          <w:p w14:paraId="726709C8" w14:textId="77777777" w:rsidR="00D42722" w:rsidRPr="00D42722" w:rsidRDefault="00D42722" w:rsidP="00D42722">
            <w:r w:rsidRPr="00D42722">
              <w:t>技术与生态系统（CUDA平台）</w:t>
            </w:r>
          </w:p>
        </w:tc>
        <w:tc>
          <w:tcPr>
            <w:tcW w:w="0" w:type="auto"/>
            <w:vAlign w:val="center"/>
            <w:hideMark/>
          </w:tcPr>
          <w:p w14:paraId="75EF297A" w14:textId="77777777" w:rsidR="00D42722" w:rsidRPr="00D42722" w:rsidRDefault="00D42722" w:rsidP="00D42722">
            <w:r w:rsidRPr="00D42722">
              <w:t>狂热期 (Frenzy)</w:t>
            </w:r>
          </w:p>
        </w:tc>
        <w:tc>
          <w:tcPr>
            <w:tcW w:w="0" w:type="auto"/>
            <w:vAlign w:val="center"/>
            <w:hideMark/>
          </w:tcPr>
          <w:p w14:paraId="731715D8" w14:textId="77777777" w:rsidR="00D42722" w:rsidRPr="00D42722" w:rsidRDefault="00D42722" w:rsidP="00D42722">
            <w:r w:rsidRPr="00D42722">
              <w:t>数据中心AI</w:t>
            </w:r>
            <w:proofErr w:type="gramStart"/>
            <w:r w:rsidRPr="00D42722">
              <w:t>算力需求指数级</w:t>
            </w:r>
            <w:proofErr w:type="gramEnd"/>
            <w:r w:rsidRPr="00D42722">
              <w:t>增长</w:t>
            </w:r>
          </w:p>
        </w:tc>
        <w:tc>
          <w:tcPr>
            <w:tcW w:w="0" w:type="auto"/>
            <w:vAlign w:val="center"/>
            <w:hideMark/>
          </w:tcPr>
          <w:p w14:paraId="57ADE84B" w14:textId="77777777" w:rsidR="00D42722" w:rsidRPr="00D42722" w:rsidRDefault="00D42722" w:rsidP="00D42722">
            <w:r w:rsidRPr="00D42722">
              <w:t>竞争加剧、客户自</w:t>
            </w:r>
            <w:proofErr w:type="gramStart"/>
            <w:r w:rsidRPr="00D42722">
              <w:t>研</w:t>
            </w:r>
            <w:proofErr w:type="gramEnd"/>
            <w:r w:rsidRPr="00D42722">
              <w:t>芯片、地缘政治（出口管制）</w:t>
            </w:r>
          </w:p>
        </w:tc>
        <w:tc>
          <w:tcPr>
            <w:tcW w:w="0" w:type="auto"/>
            <w:vAlign w:val="center"/>
            <w:hideMark/>
          </w:tcPr>
          <w:p w14:paraId="45B56395" w14:textId="77777777" w:rsidR="00D42722" w:rsidRPr="00D42722" w:rsidRDefault="00D42722" w:rsidP="00D42722">
            <w:r w:rsidRPr="00D42722">
              <w:t>远期盈利增长率、数据中心收入增速、市销率（P/S）</w:t>
            </w:r>
          </w:p>
        </w:tc>
      </w:tr>
      <w:tr w:rsidR="00D42722" w:rsidRPr="00D42722" w14:paraId="1C18BEF2" w14:textId="77777777" w:rsidTr="00D42722">
        <w:trPr>
          <w:tblCellSpacing w:w="15" w:type="dxa"/>
        </w:trPr>
        <w:tc>
          <w:tcPr>
            <w:tcW w:w="0" w:type="auto"/>
            <w:vAlign w:val="center"/>
            <w:hideMark/>
          </w:tcPr>
          <w:p w14:paraId="305A4497" w14:textId="77777777" w:rsidR="00D42722" w:rsidRPr="00D42722" w:rsidRDefault="00D42722" w:rsidP="00D42722">
            <w:r w:rsidRPr="00D42722">
              <w:rPr>
                <w:b/>
                <w:bCs/>
              </w:rPr>
              <w:t>特斯拉 (Tesla)</w:t>
            </w:r>
          </w:p>
        </w:tc>
        <w:tc>
          <w:tcPr>
            <w:tcW w:w="0" w:type="auto"/>
            <w:vAlign w:val="center"/>
            <w:hideMark/>
          </w:tcPr>
          <w:p w14:paraId="12061333" w14:textId="77777777" w:rsidR="00D42722" w:rsidRPr="00D42722" w:rsidRDefault="00D42722" w:rsidP="00D42722">
            <w:r w:rsidRPr="00D42722">
              <w:rPr>
                <w:b/>
                <w:bCs/>
              </w:rPr>
              <w:t>颠覆者 (Disruptor)</w:t>
            </w:r>
            <w:r w:rsidRPr="00D42722">
              <w:t>：以软硬件一体化重塑汽车行业</w:t>
            </w:r>
          </w:p>
        </w:tc>
        <w:tc>
          <w:tcPr>
            <w:tcW w:w="0" w:type="auto"/>
            <w:vAlign w:val="center"/>
            <w:hideMark/>
          </w:tcPr>
          <w:p w14:paraId="0E1B43CD" w14:textId="77777777" w:rsidR="00D42722" w:rsidRPr="00D42722" w:rsidRDefault="00D42722" w:rsidP="00D42722">
            <w:r w:rsidRPr="00D42722">
              <w:t>品牌、技术创新（软件、制造）、用户体验</w:t>
            </w:r>
          </w:p>
        </w:tc>
        <w:tc>
          <w:tcPr>
            <w:tcW w:w="0" w:type="auto"/>
            <w:vAlign w:val="center"/>
            <w:hideMark/>
          </w:tcPr>
          <w:p w14:paraId="4704D2C2" w14:textId="77777777" w:rsidR="00D42722" w:rsidRPr="00D42722" w:rsidRDefault="00D42722" w:rsidP="00D42722">
            <w:r w:rsidRPr="00D42722">
              <w:t>转折点/协同阶段 (Turning Point/Synergy)</w:t>
            </w:r>
          </w:p>
        </w:tc>
        <w:tc>
          <w:tcPr>
            <w:tcW w:w="0" w:type="auto"/>
            <w:vAlign w:val="center"/>
            <w:hideMark/>
          </w:tcPr>
          <w:p w14:paraId="1F163AAA" w14:textId="77777777" w:rsidR="00D42722" w:rsidRPr="00D42722" w:rsidRDefault="00D42722" w:rsidP="00D42722">
            <w:r w:rsidRPr="00D42722">
              <w:t>FSD软件商业化、Optimus机器人、能源业务</w:t>
            </w:r>
          </w:p>
        </w:tc>
        <w:tc>
          <w:tcPr>
            <w:tcW w:w="0" w:type="auto"/>
            <w:vAlign w:val="center"/>
            <w:hideMark/>
          </w:tcPr>
          <w:p w14:paraId="32D54B99" w14:textId="77777777" w:rsidR="00D42722" w:rsidRPr="00D42722" w:rsidRDefault="00D42722" w:rsidP="00D42722">
            <w:r w:rsidRPr="00D42722">
              <w:t>激烈的市场竞争、利润率压力、FSD技术实现不确定性</w:t>
            </w:r>
          </w:p>
        </w:tc>
        <w:tc>
          <w:tcPr>
            <w:tcW w:w="0" w:type="auto"/>
            <w:vAlign w:val="center"/>
            <w:hideMark/>
          </w:tcPr>
          <w:p w14:paraId="3BC1FD21" w14:textId="77777777" w:rsidR="00D42722" w:rsidRPr="00D42722" w:rsidRDefault="00D42722" w:rsidP="00D42722">
            <w:r w:rsidRPr="00D42722">
              <w:t>自动驾驶业务的期权价值、汽车业务的市盈增长率（PEG）</w:t>
            </w:r>
          </w:p>
        </w:tc>
      </w:tr>
      <w:tr w:rsidR="00D42722" w:rsidRPr="00D42722" w14:paraId="54D88C75" w14:textId="77777777" w:rsidTr="00D42722">
        <w:trPr>
          <w:tblCellSpacing w:w="15" w:type="dxa"/>
        </w:trPr>
        <w:tc>
          <w:tcPr>
            <w:tcW w:w="0" w:type="auto"/>
            <w:vAlign w:val="center"/>
            <w:hideMark/>
          </w:tcPr>
          <w:p w14:paraId="7C62093A" w14:textId="77777777" w:rsidR="00D42722" w:rsidRPr="00D42722" w:rsidRDefault="00D42722" w:rsidP="00D42722">
            <w:r w:rsidRPr="00D42722">
              <w:rPr>
                <w:b/>
                <w:bCs/>
              </w:rPr>
              <w:t>比亚迪 (BYD)</w:t>
            </w:r>
          </w:p>
        </w:tc>
        <w:tc>
          <w:tcPr>
            <w:tcW w:w="0" w:type="auto"/>
            <w:vAlign w:val="center"/>
            <w:hideMark/>
          </w:tcPr>
          <w:p w14:paraId="5808E291" w14:textId="77777777" w:rsidR="00D42722" w:rsidRPr="00D42722" w:rsidRDefault="00D42722" w:rsidP="00D42722">
            <w:r w:rsidRPr="00D42722">
              <w:rPr>
                <w:b/>
                <w:bCs/>
              </w:rPr>
              <w:t>颠覆者 (Disruptor)</w:t>
            </w:r>
            <w:r w:rsidRPr="00D42722">
              <w:t>：以成本和规模优势重塑汽车行业</w:t>
            </w:r>
          </w:p>
        </w:tc>
        <w:tc>
          <w:tcPr>
            <w:tcW w:w="0" w:type="auto"/>
            <w:vAlign w:val="center"/>
            <w:hideMark/>
          </w:tcPr>
          <w:p w14:paraId="67E8AF1D" w14:textId="77777777" w:rsidR="00D42722" w:rsidRPr="00D42722" w:rsidRDefault="00D42722" w:rsidP="00D42722">
            <w:r w:rsidRPr="00D42722">
              <w:t>垂直整合供应链、成本控制、电池技术</w:t>
            </w:r>
          </w:p>
        </w:tc>
        <w:tc>
          <w:tcPr>
            <w:tcW w:w="0" w:type="auto"/>
            <w:vAlign w:val="center"/>
            <w:hideMark/>
          </w:tcPr>
          <w:p w14:paraId="6492CE97" w14:textId="77777777" w:rsidR="00D42722" w:rsidRPr="00D42722" w:rsidRDefault="00D42722" w:rsidP="00D42722">
            <w:r w:rsidRPr="00D42722">
              <w:t>转折点/协同阶段 (Turning Point/Synergy)</w:t>
            </w:r>
          </w:p>
        </w:tc>
        <w:tc>
          <w:tcPr>
            <w:tcW w:w="0" w:type="auto"/>
            <w:vAlign w:val="center"/>
            <w:hideMark/>
          </w:tcPr>
          <w:p w14:paraId="6F0C55A3" w14:textId="77777777" w:rsidR="00D42722" w:rsidRPr="00D42722" w:rsidRDefault="00D42722" w:rsidP="00D42722">
            <w:r w:rsidRPr="00D42722">
              <w:t>全球市场扩张、多品牌车型矩阵、成本持续下降</w:t>
            </w:r>
          </w:p>
        </w:tc>
        <w:tc>
          <w:tcPr>
            <w:tcW w:w="0" w:type="auto"/>
            <w:vAlign w:val="center"/>
            <w:hideMark/>
          </w:tcPr>
          <w:p w14:paraId="473E45CD" w14:textId="77777777" w:rsidR="00D42722" w:rsidRPr="00D42722" w:rsidRDefault="00D42722" w:rsidP="00D42722">
            <w:r w:rsidRPr="00D42722">
              <w:t>海外扩张挑战（关税、品牌认知）、对中国市场的依赖</w:t>
            </w:r>
          </w:p>
        </w:tc>
        <w:tc>
          <w:tcPr>
            <w:tcW w:w="0" w:type="auto"/>
            <w:vAlign w:val="center"/>
            <w:hideMark/>
          </w:tcPr>
          <w:p w14:paraId="3B089F6B" w14:textId="77777777" w:rsidR="00D42722" w:rsidRPr="00D42722" w:rsidRDefault="00D42722" w:rsidP="00D42722">
            <w:r w:rsidRPr="00D42722">
              <w:t>市盈率（P/E）、盈利增长、全球销量</w:t>
            </w:r>
          </w:p>
        </w:tc>
      </w:tr>
      <w:tr w:rsidR="00D42722" w:rsidRPr="00D42722" w14:paraId="0D45B52C" w14:textId="77777777" w:rsidTr="00D42722">
        <w:trPr>
          <w:tblCellSpacing w:w="15" w:type="dxa"/>
        </w:trPr>
        <w:tc>
          <w:tcPr>
            <w:tcW w:w="0" w:type="auto"/>
            <w:vAlign w:val="center"/>
            <w:hideMark/>
          </w:tcPr>
          <w:p w14:paraId="12915460" w14:textId="77777777" w:rsidR="00D42722" w:rsidRPr="00D42722" w:rsidRDefault="00D42722" w:rsidP="00D42722">
            <w:r w:rsidRPr="00D42722">
              <w:rPr>
                <w:b/>
                <w:bCs/>
              </w:rPr>
              <w:t>微软 (Microsoft)</w:t>
            </w:r>
          </w:p>
        </w:tc>
        <w:tc>
          <w:tcPr>
            <w:tcW w:w="0" w:type="auto"/>
            <w:vAlign w:val="center"/>
            <w:hideMark/>
          </w:tcPr>
          <w:p w14:paraId="6C5EA19E" w14:textId="77777777" w:rsidR="00D42722" w:rsidRPr="00D42722" w:rsidRDefault="00D42722" w:rsidP="00D42722">
            <w:r w:rsidRPr="00D42722">
              <w:rPr>
                <w:b/>
                <w:bCs/>
              </w:rPr>
              <w:t>部署者 (Deployer)</w:t>
            </w:r>
            <w:r w:rsidRPr="00D42722">
              <w:t>：将AI能力大规模部署到现有生态</w:t>
            </w:r>
          </w:p>
        </w:tc>
        <w:tc>
          <w:tcPr>
            <w:tcW w:w="0" w:type="auto"/>
            <w:vAlign w:val="center"/>
            <w:hideMark/>
          </w:tcPr>
          <w:p w14:paraId="056B13D4" w14:textId="77777777" w:rsidR="00D42722" w:rsidRPr="00D42722" w:rsidRDefault="00D42722" w:rsidP="00D42722">
            <w:r w:rsidRPr="00D42722">
              <w:t>分销渠道（Azure, Office 365）、企业客户关系</w:t>
            </w:r>
          </w:p>
        </w:tc>
        <w:tc>
          <w:tcPr>
            <w:tcW w:w="0" w:type="auto"/>
            <w:vAlign w:val="center"/>
            <w:hideMark/>
          </w:tcPr>
          <w:p w14:paraId="77E44F01" w14:textId="77777777" w:rsidR="00D42722" w:rsidRPr="00D42722" w:rsidRDefault="00D42722" w:rsidP="00D42722">
            <w:r w:rsidRPr="00D42722">
              <w:t>协同阶段 (Synergy)</w:t>
            </w:r>
          </w:p>
        </w:tc>
        <w:tc>
          <w:tcPr>
            <w:tcW w:w="0" w:type="auto"/>
            <w:vAlign w:val="center"/>
            <w:hideMark/>
          </w:tcPr>
          <w:p w14:paraId="0CB7D2E7" w14:textId="77777777" w:rsidR="00D42722" w:rsidRPr="00D42722" w:rsidRDefault="00D42722" w:rsidP="00D42722">
            <w:r w:rsidRPr="00D42722">
              <w:t>Azure</w:t>
            </w:r>
            <w:proofErr w:type="gramStart"/>
            <w:r w:rsidRPr="00D42722">
              <w:t>云服务</w:t>
            </w:r>
            <w:proofErr w:type="gramEnd"/>
            <w:r w:rsidRPr="00D42722">
              <w:t>中的AI应用、Copilot订阅增长</w:t>
            </w:r>
          </w:p>
        </w:tc>
        <w:tc>
          <w:tcPr>
            <w:tcW w:w="0" w:type="auto"/>
            <w:vAlign w:val="center"/>
            <w:hideMark/>
          </w:tcPr>
          <w:p w14:paraId="03228D03" w14:textId="77777777" w:rsidR="00D42722" w:rsidRPr="00D42722" w:rsidRDefault="00D42722" w:rsidP="00D42722">
            <w:r w:rsidRPr="00D42722">
              <w:t>与OpenAI的合作关系稳定性、反垄断监管</w:t>
            </w:r>
          </w:p>
        </w:tc>
        <w:tc>
          <w:tcPr>
            <w:tcW w:w="0" w:type="auto"/>
            <w:vAlign w:val="center"/>
            <w:hideMark/>
          </w:tcPr>
          <w:p w14:paraId="5F885C31" w14:textId="77777777" w:rsidR="00D42722" w:rsidRPr="00D42722" w:rsidRDefault="00D42722" w:rsidP="00D42722">
            <w:r w:rsidRPr="00D42722">
              <w:t>智能</w:t>
            </w:r>
            <w:proofErr w:type="gramStart"/>
            <w:r w:rsidRPr="00D42722">
              <w:t>云收入</w:t>
            </w:r>
            <w:proofErr w:type="gramEnd"/>
            <w:r w:rsidRPr="00D42722">
              <w:t>增速、市盈率（P/E）、自由现金流</w:t>
            </w:r>
          </w:p>
        </w:tc>
      </w:tr>
    </w:tbl>
    <w:p w14:paraId="46441CA5" w14:textId="77777777" w:rsidR="00D42722" w:rsidRPr="00D42722" w:rsidRDefault="00D42722" w:rsidP="00D42722">
      <w:r w:rsidRPr="00D42722">
        <w:t>Export to Sheets</w:t>
      </w:r>
    </w:p>
    <w:p w14:paraId="3E0BC09B" w14:textId="77777777" w:rsidR="00D42722" w:rsidRPr="00D42722" w:rsidRDefault="00D42722" w:rsidP="00D42722">
      <w:pPr>
        <w:rPr>
          <w:b/>
          <w:bCs/>
        </w:rPr>
      </w:pPr>
      <w:r w:rsidRPr="00D42722">
        <w:rPr>
          <w:b/>
          <w:bCs/>
        </w:rPr>
        <w:t>第五部分：AI辅助研究蓝图与结论</w:t>
      </w:r>
    </w:p>
    <w:p w14:paraId="63E8CBE7" w14:textId="77777777" w:rsidR="00D42722" w:rsidRPr="00D42722" w:rsidRDefault="00D42722" w:rsidP="00D42722">
      <w:r w:rsidRPr="00D42722">
        <w:t>本报告构建的投资框架不仅是一套理论体系，更是一个可操作的、旨在与现代人工智能（AI）工具协同工作的系统。本部分将提供一个清晰的蓝图，指导投资者如何利用大型语言模型（LLM）作为强大的研究助理，从而极大地提升研究效率和深度。最后，我们将对整个框架的核心原则进行总结。</w:t>
      </w:r>
    </w:p>
    <w:p w14:paraId="74E355B3" w14:textId="77777777" w:rsidR="00D42722" w:rsidRPr="00D42722" w:rsidRDefault="00D42722" w:rsidP="00D42722">
      <w:pPr>
        <w:rPr>
          <w:b/>
          <w:bCs/>
        </w:rPr>
      </w:pPr>
      <w:r w:rsidRPr="00D42722">
        <w:rPr>
          <w:b/>
          <w:bCs/>
        </w:rPr>
        <w:t>5.1 指导分析师-AI共生：一个提示词框架</w:t>
      </w:r>
    </w:p>
    <w:p w14:paraId="505BACBC" w14:textId="77777777" w:rsidR="00D42722" w:rsidRPr="00D42722" w:rsidRDefault="00D42722" w:rsidP="00D42722">
      <w:r w:rsidRPr="00D42722">
        <w:lastRenderedPageBreak/>
        <w:t>成功的AI辅助研究，关键在于提出高质量、结构化的指令（Prompt）。以下为针对本报告五步投资流程设计的“主提示词”模板，分析师可根据具体研究对象进行调整，以指导AI完成复杂的分析任务。</w:t>
      </w:r>
    </w:p>
    <w:p w14:paraId="67FE9A1C" w14:textId="77777777" w:rsidR="00D42722" w:rsidRPr="00D42722" w:rsidRDefault="00D42722" w:rsidP="00D42722">
      <w:pPr>
        <w:numPr>
          <w:ilvl w:val="0"/>
          <w:numId w:val="17"/>
        </w:numPr>
      </w:pPr>
      <w:r w:rsidRPr="00D42722">
        <w:rPr>
          <w:b/>
          <w:bCs/>
        </w:rPr>
        <w:t>针对步骤</w:t>
      </w:r>
      <w:proofErr w:type="gramStart"/>
      <w:r w:rsidRPr="00D42722">
        <w:rPr>
          <w:b/>
          <w:bCs/>
        </w:rPr>
        <w:t>一</w:t>
      </w:r>
      <w:proofErr w:type="gramEnd"/>
      <w:r w:rsidRPr="00D42722">
        <w:rPr>
          <w:b/>
          <w:bCs/>
        </w:rPr>
        <w:t>（识别浪潮）的提示词模板：</w:t>
      </w:r>
    </w:p>
    <w:p w14:paraId="2D6B2101" w14:textId="77777777" w:rsidR="00D42722" w:rsidRPr="00D42722" w:rsidRDefault="00D42722" w:rsidP="00D42722">
      <w:r w:rsidRPr="00D42722">
        <w:t xml:space="preserve">“扮演一位技术投资策略师。请基于卡萝塔·佩雷丝的技术革命周期理论，分析 </w:t>
      </w:r>
      <w:r w:rsidRPr="00D42722">
        <w:rPr>
          <w:b/>
          <w:bCs/>
        </w:rPr>
        <w:t>[输入技术名称，例如：绿色氢能]</w:t>
      </w:r>
      <w:r w:rsidRPr="00D42722">
        <w:t xml:space="preserve"> 行业。综合来自国际能源署（IEA）、彭博新能源财经（BNEF）、</w:t>
      </w:r>
      <w:proofErr w:type="spellStart"/>
      <w:r w:rsidRPr="00D42722">
        <w:t>PitchBook</w:t>
      </w:r>
      <w:proofErr w:type="spellEnd"/>
      <w:r w:rsidRPr="00D42722">
        <w:t>的最新报告以及相关学术论文的数据，判断该技术当前的S曲线渗透率及其在佩雷丝周期中所处的阶段（导入期、狂热期、转折点、协同或成熟期）。请使用关于风险投资趋势、专利申请速度和基础设施建设进度的量化数据来支撑你的结论。”</w:t>
      </w:r>
    </w:p>
    <w:p w14:paraId="01DDEE5F" w14:textId="77777777" w:rsidR="00D42722" w:rsidRPr="00D42722" w:rsidRDefault="00D42722" w:rsidP="00D42722">
      <w:pPr>
        <w:numPr>
          <w:ilvl w:val="1"/>
          <w:numId w:val="17"/>
        </w:numPr>
      </w:pPr>
      <w:r w:rsidRPr="00D42722">
        <w:t xml:space="preserve">该提示词旨在利用AI强大的信息整合能力，快速完成宏观阶段的定位，并强制其使用本框架的核心理论和关键数据源 。   </w:t>
      </w:r>
    </w:p>
    <w:p w14:paraId="3A0E5F2B" w14:textId="77777777" w:rsidR="00D42722" w:rsidRPr="00D42722" w:rsidRDefault="00D42722" w:rsidP="00D42722">
      <w:pPr>
        <w:numPr>
          <w:ilvl w:val="0"/>
          <w:numId w:val="17"/>
        </w:numPr>
      </w:pPr>
      <w:r w:rsidRPr="00D42722">
        <w:rPr>
          <w:b/>
          <w:bCs/>
        </w:rPr>
        <w:t>针对步骤三（量化机会）的提示词模板：</w:t>
      </w:r>
    </w:p>
    <w:p w14:paraId="5465D85A" w14:textId="77777777" w:rsidR="00D42722" w:rsidRPr="00D42722" w:rsidRDefault="00D42722" w:rsidP="00D42722">
      <w:r w:rsidRPr="00D42722">
        <w:t xml:space="preserve">“针对 </w:t>
      </w:r>
      <w:r w:rsidRPr="00D42722">
        <w:rPr>
          <w:b/>
          <w:bCs/>
        </w:rPr>
        <w:t>[输入公司名称]</w:t>
      </w:r>
      <w:r w:rsidRPr="00D42722">
        <w:t xml:space="preserve">，构建一个多情景的贴现现金流（DCF）估值模型。基础情景应反映市场一致预期。乐观情景需模拟 **** 的影响。悲观情景需模拟 </w:t>
      </w:r>
      <w:r w:rsidRPr="00D42722">
        <w:rPr>
          <w:b/>
          <w:bCs/>
        </w:rPr>
        <w:t>[输入具体的风险，例如：市场份额被竞争对手X侵蚀20%]</w:t>
      </w:r>
      <w:r w:rsidRPr="00D42722">
        <w:t xml:space="preserve"> 的影响。在模型中，请应用</w:t>
      </w:r>
      <w:proofErr w:type="gramStart"/>
      <w:r w:rsidRPr="00D42722">
        <w:t>莱</w:t>
      </w:r>
      <w:proofErr w:type="gramEnd"/>
      <w:r w:rsidRPr="00D42722">
        <w:t xml:space="preserve">特定律，假设累计产量每翻一番，其生产成本下降 </w:t>
      </w:r>
      <w:r w:rsidRPr="00D42722">
        <w:rPr>
          <w:b/>
          <w:bCs/>
        </w:rPr>
        <w:t>[输入百分比，例如：15%]</w:t>
      </w:r>
      <w:r w:rsidRPr="00D42722">
        <w:t>。为三种情景分别赋予30%/50%/20%的概率权重，并计算出最终的概率加权内在价值。”</w:t>
      </w:r>
    </w:p>
    <w:p w14:paraId="6229DC78" w14:textId="77777777" w:rsidR="00D42722" w:rsidRPr="00D42722" w:rsidRDefault="00D42722" w:rsidP="00D42722">
      <w:pPr>
        <w:numPr>
          <w:ilvl w:val="1"/>
          <w:numId w:val="17"/>
        </w:numPr>
      </w:pPr>
      <w:r w:rsidRPr="00D42722">
        <w:t xml:space="preserve">该提示词将复杂的、非线性的估值方法分解为AI可以理解和执行的具体步骤，确保估值过程符合本框架的现代化要求 。   </w:t>
      </w:r>
    </w:p>
    <w:p w14:paraId="7AFBD762" w14:textId="77777777" w:rsidR="00D42722" w:rsidRPr="00D42722" w:rsidRDefault="00D42722" w:rsidP="00D42722">
      <w:pPr>
        <w:rPr>
          <w:b/>
          <w:bCs/>
        </w:rPr>
      </w:pPr>
      <w:r w:rsidRPr="00D42722">
        <w:rPr>
          <w:b/>
          <w:bCs/>
        </w:rPr>
        <w:t>表3：AI辅助研究提示词矩阵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
        <w:gridCol w:w="1089"/>
        <w:gridCol w:w="3898"/>
        <w:gridCol w:w="2595"/>
      </w:tblGrid>
      <w:tr w:rsidR="00D42722" w:rsidRPr="00D42722" w14:paraId="234A304D" w14:textId="77777777" w:rsidTr="00D42722">
        <w:trPr>
          <w:tblHeader/>
          <w:tblCellSpacing w:w="15" w:type="dxa"/>
        </w:trPr>
        <w:tc>
          <w:tcPr>
            <w:tcW w:w="0" w:type="auto"/>
            <w:vAlign w:val="center"/>
            <w:hideMark/>
          </w:tcPr>
          <w:p w14:paraId="2A82CB1B" w14:textId="77777777" w:rsidR="00D42722" w:rsidRPr="00D42722" w:rsidRDefault="00D42722" w:rsidP="00D42722">
            <w:r w:rsidRPr="00D42722">
              <w:t>投资流程步骤</w:t>
            </w:r>
          </w:p>
        </w:tc>
        <w:tc>
          <w:tcPr>
            <w:tcW w:w="0" w:type="auto"/>
            <w:vAlign w:val="center"/>
            <w:hideMark/>
          </w:tcPr>
          <w:p w14:paraId="76B69210" w14:textId="77777777" w:rsidR="00D42722" w:rsidRPr="00D42722" w:rsidRDefault="00D42722" w:rsidP="00D42722">
            <w:r w:rsidRPr="00D42722">
              <w:t>目标</w:t>
            </w:r>
          </w:p>
        </w:tc>
        <w:tc>
          <w:tcPr>
            <w:tcW w:w="0" w:type="auto"/>
            <w:vAlign w:val="center"/>
            <w:hideMark/>
          </w:tcPr>
          <w:p w14:paraId="550E660C" w14:textId="77777777" w:rsidR="00D42722" w:rsidRPr="00D42722" w:rsidRDefault="00D42722" w:rsidP="00D42722">
            <w:r w:rsidRPr="00D42722">
              <w:t>关键AI提示词</w:t>
            </w:r>
          </w:p>
        </w:tc>
        <w:tc>
          <w:tcPr>
            <w:tcW w:w="0" w:type="auto"/>
            <w:vAlign w:val="center"/>
            <w:hideMark/>
          </w:tcPr>
          <w:p w14:paraId="246DCC7A" w14:textId="77777777" w:rsidR="00D42722" w:rsidRPr="00D42722" w:rsidRDefault="00D42722" w:rsidP="00D42722">
            <w:r w:rsidRPr="00D42722">
              <w:t>所需数据输入</w:t>
            </w:r>
          </w:p>
        </w:tc>
      </w:tr>
      <w:tr w:rsidR="00D42722" w:rsidRPr="00D42722" w14:paraId="65B54345" w14:textId="77777777" w:rsidTr="00D42722">
        <w:trPr>
          <w:tblCellSpacing w:w="15" w:type="dxa"/>
        </w:trPr>
        <w:tc>
          <w:tcPr>
            <w:tcW w:w="0" w:type="auto"/>
            <w:vAlign w:val="center"/>
            <w:hideMark/>
          </w:tcPr>
          <w:p w14:paraId="702BB47D" w14:textId="77777777" w:rsidR="00D42722" w:rsidRPr="00D42722" w:rsidRDefault="00D42722" w:rsidP="00D42722">
            <w:r w:rsidRPr="00D42722">
              <w:rPr>
                <w:b/>
                <w:bCs/>
              </w:rPr>
              <w:t>步骤</w:t>
            </w:r>
            <w:proofErr w:type="gramStart"/>
            <w:r w:rsidRPr="00D42722">
              <w:rPr>
                <w:b/>
                <w:bCs/>
              </w:rPr>
              <w:t>一</w:t>
            </w:r>
            <w:proofErr w:type="gramEnd"/>
            <w:r w:rsidRPr="00D42722">
              <w:rPr>
                <w:b/>
                <w:bCs/>
              </w:rPr>
              <w:t>：识别浪潮</w:t>
            </w:r>
          </w:p>
        </w:tc>
        <w:tc>
          <w:tcPr>
            <w:tcW w:w="0" w:type="auto"/>
            <w:vAlign w:val="center"/>
            <w:hideMark/>
          </w:tcPr>
          <w:p w14:paraId="57B81A4B" w14:textId="77777777" w:rsidR="00D42722" w:rsidRPr="00D42722" w:rsidRDefault="00D42722" w:rsidP="00D42722">
            <w:r w:rsidRPr="00D42722">
              <w:t>定位技术所处的宏观周期阶段。</w:t>
            </w:r>
          </w:p>
        </w:tc>
        <w:tc>
          <w:tcPr>
            <w:tcW w:w="0" w:type="auto"/>
            <w:vAlign w:val="center"/>
            <w:hideMark/>
          </w:tcPr>
          <w:p w14:paraId="4CD584E4" w14:textId="77777777" w:rsidR="00D42722" w:rsidRPr="00D42722" w:rsidRDefault="00D42722" w:rsidP="00D42722">
            <w:r w:rsidRPr="00D42722">
              <w:t xml:space="preserve">“应用佩雷丝周期理论，分析 </w:t>
            </w:r>
            <w:r w:rsidRPr="00D42722">
              <w:rPr>
                <w:b/>
                <w:bCs/>
              </w:rPr>
              <w:t>[技术名称]</w:t>
            </w:r>
            <w:r w:rsidRPr="00D42722">
              <w:t xml:space="preserve"> 行业。结合VC融资数据、渗透率和政策文件，确定其当前阶段并提供证据。”</w:t>
            </w:r>
          </w:p>
        </w:tc>
        <w:tc>
          <w:tcPr>
            <w:tcW w:w="0" w:type="auto"/>
            <w:vAlign w:val="center"/>
            <w:hideMark/>
          </w:tcPr>
          <w:p w14:paraId="3657E9E8" w14:textId="77777777" w:rsidR="00D42722" w:rsidRPr="00D42722" w:rsidRDefault="00D42722" w:rsidP="00D42722">
            <w:r w:rsidRPr="00D42722">
              <w:t>行业报告（如IEA, Gartner）、VC数据库（如</w:t>
            </w:r>
            <w:proofErr w:type="spellStart"/>
            <w:r w:rsidRPr="00D42722">
              <w:t>PitchBook</w:t>
            </w:r>
            <w:proofErr w:type="spellEnd"/>
            <w:r w:rsidRPr="00D42722">
              <w:t>, CB Insights）、政府政策文件、市场研究数据。</w:t>
            </w:r>
          </w:p>
        </w:tc>
      </w:tr>
      <w:tr w:rsidR="00D42722" w:rsidRPr="00D42722" w14:paraId="209ACC69" w14:textId="77777777" w:rsidTr="00D42722">
        <w:trPr>
          <w:tblCellSpacing w:w="15" w:type="dxa"/>
        </w:trPr>
        <w:tc>
          <w:tcPr>
            <w:tcW w:w="0" w:type="auto"/>
            <w:vAlign w:val="center"/>
            <w:hideMark/>
          </w:tcPr>
          <w:p w14:paraId="75E28DAC" w14:textId="77777777" w:rsidR="00D42722" w:rsidRPr="00D42722" w:rsidRDefault="00D42722" w:rsidP="00D42722">
            <w:r w:rsidRPr="00D42722">
              <w:rPr>
                <w:b/>
                <w:bCs/>
              </w:rPr>
              <w:t>步骤二：定位时点</w:t>
            </w:r>
          </w:p>
        </w:tc>
        <w:tc>
          <w:tcPr>
            <w:tcW w:w="0" w:type="auto"/>
            <w:vAlign w:val="center"/>
            <w:hideMark/>
          </w:tcPr>
          <w:p w14:paraId="0F61F700" w14:textId="77777777" w:rsidR="00D42722" w:rsidRPr="00D42722" w:rsidRDefault="00D42722" w:rsidP="00D42722">
            <w:r w:rsidRPr="00D42722">
              <w:t>识别公司价值可能重估的关键催化剂。</w:t>
            </w:r>
          </w:p>
        </w:tc>
        <w:tc>
          <w:tcPr>
            <w:tcW w:w="0" w:type="auto"/>
            <w:vAlign w:val="center"/>
            <w:hideMark/>
          </w:tcPr>
          <w:p w14:paraId="3C4D63B0" w14:textId="77777777" w:rsidR="00D42722" w:rsidRPr="00D42722" w:rsidRDefault="00D42722" w:rsidP="00D42722">
            <w:r w:rsidRPr="00D42722">
              <w:t xml:space="preserve">“分析 </w:t>
            </w:r>
            <w:r w:rsidRPr="00D42722">
              <w:rPr>
                <w:b/>
                <w:bCs/>
              </w:rPr>
              <w:t>[公司名称]</w:t>
            </w:r>
            <w:r w:rsidRPr="00D42722">
              <w:t xml:space="preserve"> 的发展历程。识别并论述其是否经历了‘技术可行性验证’、‘规模化量产能力建成’或‘业绩持续超预期’这三个关键投资时点。引用公司公告、财报和新闻报道作为证据。”</w:t>
            </w:r>
          </w:p>
        </w:tc>
        <w:tc>
          <w:tcPr>
            <w:tcW w:w="0" w:type="auto"/>
            <w:vAlign w:val="center"/>
            <w:hideMark/>
          </w:tcPr>
          <w:p w14:paraId="7FF6229D" w14:textId="77777777" w:rsidR="00D42722" w:rsidRPr="00D42722" w:rsidRDefault="00D42722" w:rsidP="00D42722">
            <w:r w:rsidRPr="00D42722">
              <w:t>公司历史财报、投资者关系演示文稿、新闻稿、行业新闻数据库。</w:t>
            </w:r>
          </w:p>
        </w:tc>
      </w:tr>
      <w:tr w:rsidR="00D42722" w:rsidRPr="00D42722" w14:paraId="463175DB" w14:textId="77777777" w:rsidTr="00D42722">
        <w:trPr>
          <w:tblCellSpacing w:w="15" w:type="dxa"/>
        </w:trPr>
        <w:tc>
          <w:tcPr>
            <w:tcW w:w="0" w:type="auto"/>
            <w:vAlign w:val="center"/>
            <w:hideMark/>
          </w:tcPr>
          <w:p w14:paraId="6DA096DB" w14:textId="77777777" w:rsidR="00D42722" w:rsidRPr="00D42722" w:rsidRDefault="00D42722" w:rsidP="00D42722">
            <w:r w:rsidRPr="00D42722">
              <w:rPr>
                <w:b/>
                <w:bCs/>
              </w:rPr>
              <w:t>步骤三：量化机会</w:t>
            </w:r>
          </w:p>
        </w:tc>
        <w:tc>
          <w:tcPr>
            <w:tcW w:w="0" w:type="auto"/>
            <w:vAlign w:val="center"/>
            <w:hideMark/>
          </w:tcPr>
          <w:p w14:paraId="44C85109" w14:textId="77777777" w:rsidR="00D42722" w:rsidRPr="00D42722" w:rsidRDefault="00D42722" w:rsidP="00D42722">
            <w:r w:rsidRPr="00D42722">
              <w:t>对公司进行严谨的、风险调整后的估值。</w:t>
            </w:r>
          </w:p>
        </w:tc>
        <w:tc>
          <w:tcPr>
            <w:tcW w:w="0" w:type="auto"/>
            <w:vAlign w:val="center"/>
            <w:hideMark/>
          </w:tcPr>
          <w:p w14:paraId="53D99B50" w14:textId="77777777" w:rsidR="00D42722" w:rsidRPr="00D42722" w:rsidRDefault="00D42722" w:rsidP="00D42722">
            <w:r w:rsidRPr="00D42722">
              <w:t xml:space="preserve">“为 </w:t>
            </w:r>
            <w:r w:rsidRPr="00D42722">
              <w:rPr>
                <w:b/>
                <w:bCs/>
              </w:rPr>
              <w:t>[公司名称]</w:t>
            </w:r>
            <w:r w:rsidRPr="00D42722">
              <w:t xml:space="preserve"> 构建一个基于多情景分析的估值模型。明确定义乐观、中性和悲观情景的关键假设。计算各情景下的内在价值，并进行概率加权，最终给出一个合理的买入估值区间（包含安全边际）。”</w:t>
            </w:r>
          </w:p>
        </w:tc>
        <w:tc>
          <w:tcPr>
            <w:tcW w:w="0" w:type="auto"/>
            <w:vAlign w:val="center"/>
            <w:hideMark/>
          </w:tcPr>
          <w:p w14:paraId="5E282C1E" w14:textId="77777777" w:rsidR="00D42722" w:rsidRPr="00D42722" w:rsidRDefault="00D42722" w:rsidP="00D42722">
            <w:r w:rsidRPr="00D42722">
              <w:t>公司财务报表、分析师盈利预测、行业增长预测、公司战略规划文件。</w:t>
            </w:r>
          </w:p>
        </w:tc>
      </w:tr>
      <w:tr w:rsidR="00D42722" w:rsidRPr="00D42722" w14:paraId="178E2284" w14:textId="77777777" w:rsidTr="00D42722">
        <w:trPr>
          <w:tblCellSpacing w:w="15" w:type="dxa"/>
        </w:trPr>
        <w:tc>
          <w:tcPr>
            <w:tcW w:w="0" w:type="auto"/>
            <w:vAlign w:val="center"/>
            <w:hideMark/>
          </w:tcPr>
          <w:p w14:paraId="72832F2B" w14:textId="77777777" w:rsidR="00D42722" w:rsidRPr="00D42722" w:rsidRDefault="00D42722" w:rsidP="00D42722">
            <w:r w:rsidRPr="00D42722">
              <w:rPr>
                <w:b/>
                <w:bCs/>
              </w:rPr>
              <w:t>步骤四：构建组合</w:t>
            </w:r>
          </w:p>
        </w:tc>
        <w:tc>
          <w:tcPr>
            <w:tcW w:w="0" w:type="auto"/>
            <w:vAlign w:val="center"/>
            <w:hideMark/>
          </w:tcPr>
          <w:p w14:paraId="2DB571F1" w14:textId="77777777" w:rsidR="00D42722" w:rsidRPr="00D42722" w:rsidRDefault="00D42722" w:rsidP="00D42722">
            <w:r w:rsidRPr="00D42722">
              <w:t>决定标的在投资组合中的角色和权重。</w:t>
            </w:r>
          </w:p>
        </w:tc>
        <w:tc>
          <w:tcPr>
            <w:tcW w:w="0" w:type="auto"/>
            <w:vAlign w:val="center"/>
            <w:hideMark/>
          </w:tcPr>
          <w:p w14:paraId="24E104FE" w14:textId="77777777" w:rsidR="00D42722" w:rsidRPr="00D42722" w:rsidRDefault="00D42722" w:rsidP="00D42722">
            <w:r w:rsidRPr="00D42722">
              <w:t xml:space="preserve">“基于对 </w:t>
            </w:r>
            <w:r w:rsidRPr="00D42722">
              <w:rPr>
                <w:b/>
                <w:bCs/>
              </w:rPr>
              <w:t>[公司名称]</w:t>
            </w:r>
            <w:r w:rsidRPr="00D42722">
              <w:t xml:space="preserve"> 的护城河强度、增长确定性和当前估值的分析，判断其在‘核心-卫星’投资组合中应扮演何种角色。建议一个合理的初始</w:t>
            </w:r>
            <w:proofErr w:type="gramStart"/>
            <w:r w:rsidRPr="00D42722">
              <w:t>仓位</w:t>
            </w:r>
            <w:proofErr w:type="gramEnd"/>
            <w:r w:rsidRPr="00D42722">
              <w:t>，并阐述理由。”</w:t>
            </w:r>
          </w:p>
        </w:tc>
        <w:tc>
          <w:tcPr>
            <w:tcW w:w="0" w:type="auto"/>
            <w:vAlign w:val="center"/>
            <w:hideMark/>
          </w:tcPr>
          <w:p w14:paraId="678940F7" w14:textId="77777777" w:rsidR="00D42722" w:rsidRPr="00D42722" w:rsidRDefault="00D42722" w:rsidP="00D42722">
            <w:r w:rsidRPr="00D42722">
              <w:t>公司研究报告、竞争格局分析、市场情绪数据、组合现有持仓情况。</w:t>
            </w:r>
          </w:p>
        </w:tc>
      </w:tr>
      <w:tr w:rsidR="00D42722" w:rsidRPr="00D42722" w14:paraId="5F3DCCFE" w14:textId="77777777" w:rsidTr="00D42722">
        <w:trPr>
          <w:tblCellSpacing w:w="15" w:type="dxa"/>
        </w:trPr>
        <w:tc>
          <w:tcPr>
            <w:tcW w:w="0" w:type="auto"/>
            <w:vAlign w:val="center"/>
            <w:hideMark/>
          </w:tcPr>
          <w:p w14:paraId="42CEF32D" w14:textId="77777777" w:rsidR="00D42722" w:rsidRPr="00D42722" w:rsidRDefault="00D42722" w:rsidP="00D42722">
            <w:r w:rsidRPr="00D42722">
              <w:rPr>
                <w:b/>
                <w:bCs/>
              </w:rPr>
              <w:t>步骤五：反馈闭环</w:t>
            </w:r>
          </w:p>
        </w:tc>
        <w:tc>
          <w:tcPr>
            <w:tcW w:w="0" w:type="auto"/>
            <w:vAlign w:val="center"/>
            <w:hideMark/>
          </w:tcPr>
          <w:p w14:paraId="1853DB4B" w14:textId="77777777" w:rsidR="00D42722" w:rsidRPr="00D42722" w:rsidRDefault="00D42722" w:rsidP="00D42722">
            <w:r w:rsidRPr="00D42722">
              <w:t>建立持续学习和优化的机制。</w:t>
            </w:r>
          </w:p>
        </w:tc>
        <w:tc>
          <w:tcPr>
            <w:tcW w:w="0" w:type="auto"/>
            <w:vAlign w:val="center"/>
            <w:hideMark/>
          </w:tcPr>
          <w:p w14:paraId="64108CD5" w14:textId="77777777" w:rsidR="00D42722" w:rsidRPr="00D42722" w:rsidRDefault="00D42722" w:rsidP="00D42722">
            <w:r w:rsidRPr="00D42722">
              <w:t xml:space="preserve">“总结 </w:t>
            </w:r>
            <w:r w:rsidRPr="00D42722">
              <w:rPr>
                <w:b/>
                <w:bCs/>
              </w:rPr>
              <w:t>[公司名称]</w:t>
            </w:r>
            <w:r w:rsidRPr="00D42722">
              <w:t xml:space="preserve"> 从买入到卖出的这笔投资。复盘最初的投资逻辑，分析哪些假设被证实，哪些被证伪。提炼出3条可用于未</w:t>
            </w:r>
            <w:r w:rsidRPr="00D42722">
              <w:lastRenderedPageBreak/>
              <w:t>来投资决策的经验教训。”</w:t>
            </w:r>
          </w:p>
        </w:tc>
        <w:tc>
          <w:tcPr>
            <w:tcW w:w="0" w:type="auto"/>
            <w:vAlign w:val="center"/>
            <w:hideMark/>
          </w:tcPr>
          <w:p w14:paraId="69F7B73F" w14:textId="77777777" w:rsidR="00D42722" w:rsidRPr="00D42722" w:rsidRDefault="00D42722" w:rsidP="00D42722">
            <w:r w:rsidRPr="00D42722">
              <w:lastRenderedPageBreak/>
              <w:t>原始投资备忘录、交易记录、期间的市场和公司新闻、最终的投资回报率。</w:t>
            </w:r>
          </w:p>
        </w:tc>
      </w:tr>
    </w:tbl>
    <w:p w14:paraId="60EE15B2" w14:textId="77777777" w:rsidR="00D42722" w:rsidRPr="00D42722" w:rsidRDefault="00D42722" w:rsidP="00D42722">
      <w:r w:rsidRPr="00D42722">
        <w:t>Export to Sheets</w:t>
      </w:r>
    </w:p>
    <w:p w14:paraId="28C33D4F" w14:textId="77777777" w:rsidR="00D42722" w:rsidRPr="00D42722" w:rsidRDefault="00D42722" w:rsidP="00D42722">
      <w:pPr>
        <w:rPr>
          <w:b/>
          <w:bCs/>
        </w:rPr>
      </w:pPr>
      <w:r w:rsidRPr="00D42722">
        <w:rPr>
          <w:b/>
          <w:bCs/>
        </w:rPr>
        <w:t>5.2 结论：驾驭变革的永恒原则</w:t>
      </w:r>
    </w:p>
    <w:p w14:paraId="6513CBE6" w14:textId="77777777" w:rsidR="00D42722" w:rsidRPr="00D42722" w:rsidRDefault="00D42722" w:rsidP="00D42722">
      <w:r w:rsidRPr="00D42722">
        <w:t>本报告构建的《指数型投资者》框架，旨在为身处技术革命浪潮中的投资者提供一套系统、完整且可操作的导航系统。其核心思想可以归结为三大永恒原则：</w:t>
      </w:r>
    </w:p>
    <w:p w14:paraId="43822C58" w14:textId="77777777" w:rsidR="00D42722" w:rsidRPr="00D42722" w:rsidRDefault="00D42722" w:rsidP="00D42722">
      <w:pPr>
        <w:numPr>
          <w:ilvl w:val="0"/>
          <w:numId w:val="18"/>
        </w:numPr>
      </w:pPr>
      <w:r w:rsidRPr="00D42722">
        <w:rPr>
          <w:b/>
          <w:bCs/>
        </w:rPr>
        <w:t>宏观与微观的结合：</w:t>
      </w:r>
      <w:r w:rsidRPr="00D42722">
        <w:t xml:space="preserve"> 成功的投资始于对宏大叙事（技术革命周期）的深刻理解，并最终落脚于对具体公司（护城河、管理层、财务状况）的精细分析。只看宏观容易陷入空泛的清谈，只看微观则可能错失时代赋予的巨大机遇。本框架通过佩雷丝周期理论与五步公司分析法的结合，实现了两者的统一。</w:t>
      </w:r>
    </w:p>
    <w:p w14:paraId="73EBF41F" w14:textId="77777777" w:rsidR="00D42722" w:rsidRPr="00D42722" w:rsidRDefault="00D42722" w:rsidP="00D42722">
      <w:pPr>
        <w:numPr>
          <w:ilvl w:val="0"/>
          <w:numId w:val="18"/>
        </w:numPr>
      </w:pPr>
      <w:r w:rsidRPr="00D42722">
        <w:rPr>
          <w:b/>
          <w:bCs/>
        </w:rPr>
        <w:t>战略与战术的平衡：</w:t>
      </w:r>
      <w:r w:rsidRPr="00D42722">
        <w:t xml:space="preserve"> 投资者必须同时具备“创始人”的</w:t>
      </w:r>
      <w:proofErr w:type="gramStart"/>
      <w:r w:rsidRPr="00D42722">
        <w:t>长期愿景和</w:t>
      </w:r>
      <w:proofErr w:type="gramEnd"/>
      <w:r w:rsidRPr="00D42722">
        <w:t>“交易员”的短期敏锐。创始人视角提供了在市场动荡中坚守的信念，而交易员视角则赋予了在价格波动中规避风险、优化回报的灵活性。在周期的不同阶段动态调整这两种视角的权重，是实现卓越风险调整后回报的关键。</w:t>
      </w:r>
    </w:p>
    <w:p w14:paraId="3E014664" w14:textId="77777777" w:rsidR="00D42722" w:rsidRPr="00D42722" w:rsidRDefault="00D42722" w:rsidP="00D42722">
      <w:pPr>
        <w:numPr>
          <w:ilvl w:val="0"/>
          <w:numId w:val="18"/>
        </w:numPr>
      </w:pPr>
      <w:r w:rsidRPr="00D42722">
        <w:rPr>
          <w:b/>
          <w:bCs/>
        </w:rPr>
        <w:t>纪律与进化的统一：</w:t>
      </w:r>
      <w:r w:rsidRPr="00D42722">
        <w:t xml:space="preserve"> 投资是一场没有终点的马拉松。一个严格的、可重复的投资流程是克服人性弱点、避免重大错误的基石。然而，任何静态的体系都将被市场淘汰。因此，体系本身必须是开放和进化的，通过持续的复盘、学习和优化，不断扩展投资者的认知边界和能力圈 。   </w:t>
      </w:r>
    </w:p>
    <w:p w14:paraId="51F6515B" w14:textId="77777777" w:rsidR="00D42722" w:rsidRPr="00D42722" w:rsidRDefault="00D42722" w:rsidP="00D42722">
      <w:r w:rsidRPr="00D42722">
        <w:t>展望未来，人工智能、清洁能源、生物科技等新兴技术将继续以前所未有的速度重塑全球经济格局，带来新的、巨大的投资机遇与挑战。本报告提供的框架、方法和案例，旨在为投资者提供一套应对这种变革的思想武器。最终，投资的成功不仅取决于方法的优劣，更取决于投资者自身对知识的渴求、对纪律的坚守和对世界永不停歇的好奇心。唯有终身学习，方能与时俱进，在驾驭变革的浪潮中，实现财富的长期稳健增值。</w:t>
      </w:r>
    </w:p>
    <w:p w14:paraId="73596062" w14:textId="77777777" w:rsidR="00E276C2" w:rsidRDefault="00E276C2"/>
    <w:sectPr w:rsidR="00E276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4646"/>
    <w:multiLevelType w:val="multilevel"/>
    <w:tmpl w:val="3E4C7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15C18"/>
    <w:multiLevelType w:val="multilevel"/>
    <w:tmpl w:val="9440F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521EE"/>
    <w:multiLevelType w:val="multilevel"/>
    <w:tmpl w:val="CABAC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E45C8"/>
    <w:multiLevelType w:val="multilevel"/>
    <w:tmpl w:val="A9860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B6F81"/>
    <w:multiLevelType w:val="multilevel"/>
    <w:tmpl w:val="DF1E1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762A8"/>
    <w:multiLevelType w:val="multilevel"/>
    <w:tmpl w:val="25826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C7B3C"/>
    <w:multiLevelType w:val="multilevel"/>
    <w:tmpl w:val="E416B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8280A"/>
    <w:multiLevelType w:val="multilevel"/>
    <w:tmpl w:val="760E5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A07268"/>
    <w:multiLevelType w:val="multilevel"/>
    <w:tmpl w:val="80386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C3875"/>
    <w:multiLevelType w:val="multilevel"/>
    <w:tmpl w:val="19E0F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364F4"/>
    <w:multiLevelType w:val="multilevel"/>
    <w:tmpl w:val="62722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FA7E52"/>
    <w:multiLevelType w:val="multilevel"/>
    <w:tmpl w:val="D026D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366AB7"/>
    <w:multiLevelType w:val="multilevel"/>
    <w:tmpl w:val="664A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C770B4"/>
    <w:multiLevelType w:val="multilevel"/>
    <w:tmpl w:val="055A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91413A"/>
    <w:multiLevelType w:val="multilevel"/>
    <w:tmpl w:val="FCB44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665984"/>
    <w:multiLevelType w:val="multilevel"/>
    <w:tmpl w:val="CA80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E66452"/>
    <w:multiLevelType w:val="multilevel"/>
    <w:tmpl w:val="E5162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00023E"/>
    <w:multiLevelType w:val="multilevel"/>
    <w:tmpl w:val="53683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984470">
    <w:abstractNumId w:val="7"/>
  </w:num>
  <w:num w:numId="2" w16cid:durableId="384918262">
    <w:abstractNumId w:val="4"/>
  </w:num>
  <w:num w:numId="3" w16cid:durableId="362171540">
    <w:abstractNumId w:val="9"/>
  </w:num>
  <w:num w:numId="4" w16cid:durableId="1417827796">
    <w:abstractNumId w:val="2"/>
  </w:num>
  <w:num w:numId="5" w16cid:durableId="285895341">
    <w:abstractNumId w:val="17"/>
  </w:num>
  <w:num w:numId="6" w16cid:durableId="2127697416">
    <w:abstractNumId w:val="14"/>
  </w:num>
  <w:num w:numId="7" w16cid:durableId="572086580">
    <w:abstractNumId w:val="15"/>
  </w:num>
  <w:num w:numId="8" w16cid:durableId="1054768928">
    <w:abstractNumId w:val="16"/>
  </w:num>
  <w:num w:numId="9" w16cid:durableId="1161190646">
    <w:abstractNumId w:val="8"/>
  </w:num>
  <w:num w:numId="10" w16cid:durableId="990449236">
    <w:abstractNumId w:val="3"/>
  </w:num>
  <w:num w:numId="11" w16cid:durableId="36977984">
    <w:abstractNumId w:val="11"/>
  </w:num>
  <w:num w:numId="12" w16cid:durableId="837040942">
    <w:abstractNumId w:val="1"/>
  </w:num>
  <w:num w:numId="13" w16cid:durableId="328363140">
    <w:abstractNumId w:val="0"/>
  </w:num>
  <w:num w:numId="14" w16cid:durableId="1074280995">
    <w:abstractNumId w:val="12"/>
  </w:num>
  <w:num w:numId="15" w16cid:durableId="365494990">
    <w:abstractNumId w:val="6"/>
  </w:num>
  <w:num w:numId="16" w16cid:durableId="1197236231">
    <w:abstractNumId w:val="13"/>
  </w:num>
  <w:num w:numId="17" w16cid:durableId="109983026">
    <w:abstractNumId w:val="5"/>
  </w:num>
  <w:num w:numId="18" w16cid:durableId="15790485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722"/>
    <w:rsid w:val="0095645C"/>
    <w:rsid w:val="00D04F4A"/>
    <w:rsid w:val="00D42722"/>
    <w:rsid w:val="00E276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6A541"/>
  <w15:chartTrackingRefBased/>
  <w15:docId w15:val="{55714921-EB2F-428C-B49B-7398955B4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4272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4272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4272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4272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4272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4272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4272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4272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4272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4272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4272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4272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42722"/>
    <w:rPr>
      <w:rFonts w:cstheme="majorBidi"/>
      <w:color w:val="0F4761" w:themeColor="accent1" w:themeShade="BF"/>
      <w:sz w:val="28"/>
      <w:szCs w:val="28"/>
    </w:rPr>
  </w:style>
  <w:style w:type="character" w:customStyle="1" w:styleId="50">
    <w:name w:val="标题 5 字符"/>
    <w:basedOn w:val="a0"/>
    <w:link w:val="5"/>
    <w:uiPriority w:val="9"/>
    <w:semiHidden/>
    <w:rsid w:val="00D42722"/>
    <w:rPr>
      <w:rFonts w:cstheme="majorBidi"/>
      <w:color w:val="0F4761" w:themeColor="accent1" w:themeShade="BF"/>
      <w:sz w:val="24"/>
      <w:szCs w:val="24"/>
    </w:rPr>
  </w:style>
  <w:style w:type="character" w:customStyle="1" w:styleId="60">
    <w:name w:val="标题 6 字符"/>
    <w:basedOn w:val="a0"/>
    <w:link w:val="6"/>
    <w:uiPriority w:val="9"/>
    <w:semiHidden/>
    <w:rsid w:val="00D42722"/>
    <w:rPr>
      <w:rFonts w:cstheme="majorBidi"/>
      <w:b/>
      <w:bCs/>
      <w:color w:val="0F4761" w:themeColor="accent1" w:themeShade="BF"/>
    </w:rPr>
  </w:style>
  <w:style w:type="character" w:customStyle="1" w:styleId="70">
    <w:name w:val="标题 7 字符"/>
    <w:basedOn w:val="a0"/>
    <w:link w:val="7"/>
    <w:uiPriority w:val="9"/>
    <w:semiHidden/>
    <w:rsid w:val="00D42722"/>
    <w:rPr>
      <w:rFonts w:cstheme="majorBidi"/>
      <w:b/>
      <w:bCs/>
      <w:color w:val="595959" w:themeColor="text1" w:themeTint="A6"/>
    </w:rPr>
  </w:style>
  <w:style w:type="character" w:customStyle="1" w:styleId="80">
    <w:name w:val="标题 8 字符"/>
    <w:basedOn w:val="a0"/>
    <w:link w:val="8"/>
    <w:uiPriority w:val="9"/>
    <w:semiHidden/>
    <w:rsid w:val="00D42722"/>
    <w:rPr>
      <w:rFonts w:cstheme="majorBidi"/>
      <w:color w:val="595959" w:themeColor="text1" w:themeTint="A6"/>
    </w:rPr>
  </w:style>
  <w:style w:type="character" w:customStyle="1" w:styleId="90">
    <w:name w:val="标题 9 字符"/>
    <w:basedOn w:val="a0"/>
    <w:link w:val="9"/>
    <w:uiPriority w:val="9"/>
    <w:semiHidden/>
    <w:rsid w:val="00D42722"/>
    <w:rPr>
      <w:rFonts w:eastAsiaTheme="majorEastAsia" w:cstheme="majorBidi"/>
      <w:color w:val="595959" w:themeColor="text1" w:themeTint="A6"/>
    </w:rPr>
  </w:style>
  <w:style w:type="paragraph" w:styleId="a3">
    <w:name w:val="Title"/>
    <w:basedOn w:val="a"/>
    <w:next w:val="a"/>
    <w:link w:val="a4"/>
    <w:uiPriority w:val="10"/>
    <w:qFormat/>
    <w:rsid w:val="00D4272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427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272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427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2722"/>
    <w:pPr>
      <w:spacing w:before="160" w:after="160"/>
      <w:jc w:val="center"/>
    </w:pPr>
    <w:rPr>
      <w:i/>
      <w:iCs/>
      <w:color w:val="404040" w:themeColor="text1" w:themeTint="BF"/>
    </w:rPr>
  </w:style>
  <w:style w:type="character" w:customStyle="1" w:styleId="a8">
    <w:name w:val="引用 字符"/>
    <w:basedOn w:val="a0"/>
    <w:link w:val="a7"/>
    <w:uiPriority w:val="29"/>
    <w:rsid w:val="00D42722"/>
    <w:rPr>
      <w:i/>
      <w:iCs/>
      <w:color w:val="404040" w:themeColor="text1" w:themeTint="BF"/>
    </w:rPr>
  </w:style>
  <w:style w:type="paragraph" w:styleId="a9">
    <w:name w:val="List Paragraph"/>
    <w:basedOn w:val="a"/>
    <w:uiPriority w:val="34"/>
    <w:qFormat/>
    <w:rsid w:val="00D42722"/>
    <w:pPr>
      <w:ind w:left="720"/>
      <w:contextualSpacing/>
    </w:pPr>
  </w:style>
  <w:style w:type="character" w:styleId="aa">
    <w:name w:val="Intense Emphasis"/>
    <w:basedOn w:val="a0"/>
    <w:uiPriority w:val="21"/>
    <w:qFormat/>
    <w:rsid w:val="00D42722"/>
    <w:rPr>
      <w:i/>
      <w:iCs/>
      <w:color w:val="0F4761" w:themeColor="accent1" w:themeShade="BF"/>
    </w:rPr>
  </w:style>
  <w:style w:type="paragraph" w:styleId="ab">
    <w:name w:val="Intense Quote"/>
    <w:basedOn w:val="a"/>
    <w:next w:val="a"/>
    <w:link w:val="ac"/>
    <w:uiPriority w:val="30"/>
    <w:qFormat/>
    <w:rsid w:val="00D42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42722"/>
    <w:rPr>
      <w:i/>
      <w:iCs/>
      <w:color w:val="0F4761" w:themeColor="accent1" w:themeShade="BF"/>
    </w:rPr>
  </w:style>
  <w:style w:type="character" w:styleId="ad">
    <w:name w:val="Intense Reference"/>
    <w:basedOn w:val="a0"/>
    <w:uiPriority w:val="32"/>
    <w:qFormat/>
    <w:rsid w:val="00D427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708443">
      <w:bodyDiv w:val="1"/>
      <w:marLeft w:val="0"/>
      <w:marRight w:val="0"/>
      <w:marTop w:val="0"/>
      <w:marBottom w:val="0"/>
      <w:divBdr>
        <w:top w:val="none" w:sz="0" w:space="0" w:color="auto"/>
        <w:left w:val="none" w:sz="0" w:space="0" w:color="auto"/>
        <w:bottom w:val="none" w:sz="0" w:space="0" w:color="auto"/>
        <w:right w:val="none" w:sz="0" w:space="0" w:color="auto"/>
      </w:divBdr>
      <w:divsChild>
        <w:div w:id="1035691285">
          <w:marLeft w:val="0"/>
          <w:marRight w:val="0"/>
          <w:marTop w:val="0"/>
          <w:marBottom w:val="0"/>
          <w:divBdr>
            <w:top w:val="none" w:sz="0" w:space="0" w:color="auto"/>
            <w:left w:val="none" w:sz="0" w:space="0" w:color="auto"/>
            <w:bottom w:val="none" w:sz="0" w:space="0" w:color="auto"/>
            <w:right w:val="none" w:sz="0" w:space="0" w:color="auto"/>
          </w:divBdr>
          <w:divsChild>
            <w:div w:id="1013802199">
              <w:marLeft w:val="0"/>
              <w:marRight w:val="0"/>
              <w:marTop w:val="0"/>
              <w:marBottom w:val="0"/>
              <w:divBdr>
                <w:top w:val="none" w:sz="0" w:space="0" w:color="auto"/>
                <w:left w:val="none" w:sz="0" w:space="0" w:color="auto"/>
                <w:bottom w:val="none" w:sz="0" w:space="0" w:color="auto"/>
                <w:right w:val="none" w:sz="0" w:space="0" w:color="auto"/>
              </w:divBdr>
              <w:divsChild>
                <w:div w:id="2053381606">
                  <w:marLeft w:val="0"/>
                  <w:marRight w:val="0"/>
                  <w:marTop w:val="0"/>
                  <w:marBottom w:val="0"/>
                  <w:divBdr>
                    <w:top w:val="none" w:sz="0" w:space="0" w:color="auto"/>
                    <w:left w:val="none" w:sz="0" w:space="0" w:color="auto"/>
                    <w:bottom w:val="none" w:sz="0" w:space="0" w:color="auto"/>
                    <w:right w:val="none" w:sz="0" w:space="0" w:color="auto"/>
                  </w:divBdr>
                </w:div>
                <w:div w:id="55162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31947">
          <w:marLeft w:val="0"/>
          <w:marRight w:val="0"/>
          <w:marTop w:val="0"/>
          <w:marBottom w:val="0"/>
          <w:divBdr>
            <w:top w:val="none" w:sz="0" w:space="0" w:color="auto"/>
            <w:left w:val="none" w:sz="0" w:space="0" w:color="auto"/>
            <w:bottom w:val="none" w:sz="0" w:space="0" w:color="auto"/>
            <w:right w:val="none" w:sz="0" w:space="0" w:color="auto"/>
          </w:divBdr>
          <w:divsChild>
            <w:div w:id="430466331">
              <w:marLeft w:val="0"/>
              <w:marRight w:val="0"/>
              <w:marTop w:val="0"/>
              <w:marBottom w:val="0"/>
              <w:divBdr>
                <w:top w:val="none" w:sz="0" w:space="0" w:color="auto"/>
                <w:left w:val="none" w:sz="0" w:space="0" w:color="auto"/>
                <w:bottom w:val="none" w:sz="0" w:space="0" w:color="auto"/>
                <w:right w:val="none" w:sz="0" w:space="0" w:color="auto"/>
              </w:divBdr>
              <w:divsChild>
                <w:div w:id="18093447">
                  <w:marLeft w:val="0"/>
                  <w:marRight w:val="0"/>
                  <w:marTop w:val="0"/>
                  <w:marBottom w:val="0"/>
                  <w:divBdr>
                    <w:top w:val="none" w:sz="0" w:space="0" w:color="auto"/>
                    <w:left w:val="none" w:sz="0" w:space="0" w:color="auto"/>
                    <w:bottom w:val="none" w:sz="0" w:space="0" w:color="auto"/>
                    <w:right w:val="none" w:sz="0" w:space="0" w:color="auto"/>
                  </w:divBdr>
                </w:div>
                <w:div w:id="186790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92795">
          <w:blockQuote w:val="1"/>
          <w:marLeft w:val="720"/>
          <w:marRight w:val="720"/>
          <w:marTop w:val="100"/>
          <w:marBottom w:val="100"/>
          <w:divBdr>
            <w:top w:val="none" w:sz="0" w:space="0" w:color="auto"/>
            <w:left w:val="none" w:sz="0" w:space="0" w:color="auto"/>
            <w:bottom w:val="none" w:sz="0" w:space="0" w:color="auto"/>
            <w:right w:val="none" w:sz="0" w:space="0" w:color="auto"/>
          </w:divBdr>
        </w:div>
        <w:div w:id="542867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840068">
          <w:marLeft w:val="0"/>
          <w:marRight w:val="0"/>
          <w:marTop w:val="0"/>
          <w:marBottom w:val="0"/>
          <w:divBdr>
            <w:top w:val="none" w:sz="0" w:space="0" w:color="auto"/>
            <w:left w:val="none" w:sz="0" w:space="0" w:color="auto"/>
            <w:bottom w:val="none" w:sz="0" w:space="0" w:color="auto"/>
            <w:right w:val="none" w:sz="0" w:space="0" w:color="auto"/>
          </w:divBdr>
          <w:divsChild>
            <w:div w:id="1550653446">
              <w:marLeft w:val="0"/>
              <w:marRight w:val="0"/>
              <w:marTop w:val="0"/>
              <w:marBottom w:val="0"/>
              <w:divBdr>
                <w:top w:val="none" w:sz="0" w:space="0" w:color="auto"/>
                <w:left w:val="none" w:sz="0" w:space="0" w:color="auto"/>
                <w:bottom w:val="none" w:sz="0" w:space="0" w:color="auto"/>
                <w:right w:val="none" w:sz="0" w:space="0" w:color="auto"/>
              </w:divBdr>
              <w:divsChild>
                <w:div w:id="213935258">
                  <w:marLeft w:val="0"/>
                  <w:marRight w:val="0"/>
                  <w:marTop w:val="0"/>
                  <w:marBottom w:val="0"/>
                  <w:divBdr>
                    <w:top w:val="none" w:sz="0" w:space="0" w:color="auto"/>
                    <w:left w:val="none" w:sz="0" w:space="0" w:color="auto"/>
                    <w:bottom w:val="none" w:sz="0" w:space="0" w:color="auto"/>
                    <w:right w:val="none" w:sz="0" w:space="0" w:color="auto"/>
                  </w:divBdr>
                </w:div>
                <w:div w:id="30678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986976">
      <w:bodyDiv w:val="1"/>
      <w:marLeft w:val="0"/>
      <w:marRight w:val="0"/>
      <w:marTop w:val="0"/>
      <w:marBottom w:val="0"/>
      <w:divBdr>
        <w:top w:val="none" w:sz="0" w:space="0" w:color="auto"/>
        <w:left w:val="none" w:sz="0" w:space="0" w:color="auto"/>
        <w:bottom w:val="none" w:sz="0" w:space="0" w:color="auto"/>
        <w:right w:val="none" w:sz="0" w:space="0" w:color="auto"/>
      </w:divBdr>
      <w:divsChild>
        <w:div w:id="1608734139">
          <w:marLeft w:val="0"/>
          <w:marRight w:val="0"/>
          <w:marTop w:val="0"/>
          <w:marBottom w:val="0"/>
          <w:divBdr>
            <w:top w:val="none" w:sz="0" w:space="0" w:color="auto"/>
            <w:left w:val="none" w:sz="0" w:space="0" w:color="auto"/>
            <w:bottom w:val="none" w:sz="0" w:space="0" w:color="auto"/>
            <w:right w:val="none" w:sz="0" w:space="0" w:color="auto"/>
          </w:divBdr>
          <w:divsChild>
            <w:div w:id="2146777194">
              <w:marLeft w:val="0"/>
              <w:marRight w:val="0"/>
              <w:marTop w:val="0"/>
              <w:marBottom w:val="0"/>
              <w:divBdr>
                <w:top w:val="none" w:sz="0" w:space="0" w:color="auto"/>
                <w:left w:val="none" w:sz="0" w:space="0" w:color="auto"/>
                <w:bottom w:val="none" w:sz="0" w:space="0" w:color="auto"/>
                <w:right w:val="none" w:sz="0" w:space="0" w:color="auto"/>
              </w:divBdr>
              <w:divsChild>
                <w:div w:id="512063924">
                  <w:marLeft w:val="0"/>
                  <w:marRight w:val="0"/>
                  <w:marTop w:val="0"/>
                  <w:marBottom w:val="0"/>
                  <w:divBdr>
                    <w:top w:val="none" w:sz="0" w:space="0" w:color="auto"/>
                    <w:left w:val="none" w:sz="0" w:space="0" w:color="auto"/>
                    <w:bottom w:val="none" w:sz="0" w:space="0" w:color="auto"/>
                    <w:right w:val="none" w:sz="0" w:space="0" w:color="auto"/>
                  </w:divBdr>
                </w:div>
                <w:div w:id="5924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377081">
          <w:marLeft w:val="0"/>
          <w:marRight w:val="0"/>
          <w:marTop w:val="0"/>
          <w:marBottom w:val="0"/>
          <w:divBdr>
            <w:top w:val="none" w:sz="0" w:space="0" w:color="auto"/>
            <w:left w:val="none" w:sz="0" w:space="0" w:color="auto"/>
            <w:bottom w:val="none" w:sz="0" w:space="0" w:color="auto"/>
            <w:right w:val="none" w:sz="0" w:space="0" w:color="auto"/>
          </w:divBdr>
          <w:divsChild>
            <w:div w:id="1027482277">
              <w:marLeft w:val="0"/>
              <w:marRight w:val="0"/>
              <w:marTop w:val="0"/>
              <w:marBottom w:val="0"/>
              <w:divBdr>
                <w:top w:val="none" w:sz="0" w:space="0" w:color="auto"/>
                <w:left w:val="none" w:sz="0" w:space="0" w:color="auto"/>
                <w:bottom w:val="none" w:sz="0" w:space="0" w:color="auto"/>
                <w:right w:val="none" w:sz="0" w:space="0" w:color="auto"/>
              </w:divBdr>
              <w:divsChild>
                <w:div w:id="1239637373">
                  <w:marLeft w:val="0"/>
                  <w:marRight w:val="0"/>
                  <w:marTop w:val="0"/>
                  <w:marBottom w:val="0"/>
                  <w:divBdr>
                    <w:top w:val="none" w:sz="0" w:space="0" w:color="auto"/>
                    <w:left w:val="none" w:sz="0" w:space="0" w:color="auto"/>
                    <w:bottom w:val="none" w:sz="0" w:space="0" w:color="auto"/>
                    <w:right w:val="none" w:sz="0" w:space="0" w:color="auto"/>
                  </w:divBdr>
                </w:div>
                <w:div w:id="55466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7978">
          <w:blockQuote w:val="1"/>
          <w:marLeft w:val="720"/>
          <w:marRight w:val="720"/>
          <w:marTop w:val="100"/>
          <w:marBottom w:val="100"/>
          <w:divBdr>
            <w:top w:val="none" w:sz="0" w:space="0" w:color="auto"/>
            <w:left w:val="none" w:sz="0" w:space="0" w:color="auto"/>
            <w:bottom w:val="none" w:sz="0" w:space="0" w:color="auto"/>
            <w:right w:val="none" w:sz="0" w:space="0" w:color="auto"/>
          </w:divBdr>
        </w:div>
        <w:div w:id="8648319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871111">
          <w:marLeft w:val="0"/>
          <w:marRight w:val="0"/>
          <w:marTop w:val="0"/>
          <w:marBottom w:val="0"/>
          <w:divBdr>
            <w:top w:val="none" w:sz="0" w:space="0" w:color="auto"/>
            <w:left w:val="none" w:sz="0" w:space="0" w:color="auto"/>
            <w:bottom w:val="none" w:sz="0" w:space="0" w:color="auto"/>
            <w:right w:val="none" w:sz="0" w:space="0" w:color="auto"/>
          </w:divBdr>
          <w:divsChild>
            <w:div w:id="1828547070">
              <w:marLeft w:val="0"/>
              <w:marRight w:val="0"/>
              <w:marTop w:val="0"/>
              <w:marBottom w:val="0"/>
              <w:divBdr>
                <w:top w:val="none" w:sz="0" w:space="0" w:color="auto"/>
                <w:left w:val="none" w:sz="0" w:space="0" w:color="auto"/>
                <w:bottom w:val="none" w:sz="0" w:space="0" w:color="auto"/>
                <w:right w:val="none" w:sz="0" w:space="0" w:color="auto"/>
              </w:divBdr>
              <w:divsChild>
                <w:div w:id="266472511">
                  <w:marLeft w:val="0"/>
                  <w:marRight w:val="0"/>
                  <w:marTop w:val="0"/>
                  <w:marBottom w:val="0"/>
                  <w:divBdr>
                    <w:top w:val="none" w:sz="0" w:space="0" w:color="auto"/>
                    <w:left w:val="none" w:sz="0" w:space="0" w:color="auto"/>
                    <w:bottom w:val="none" w:sz="0" w:space="0" w:color="auto"/>
                    <w:right w:val="none" w:sz="0" w:space="0" w:color="auto"/>
                  </w:divBdr>
                </w:div>
                <w:div w:id="16252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2307</Words>
  <Characters>13156</Characters>
  <Application>Microsoft Office Word</Application>
  <DocSecurity>0</DocSecurity>
  <Lines>109</Lines>
  <Paragraphs>30</Paragraphs>
  <ScaleCrop>false</ScaleCrop>
  <Company/>
  <LinksUpToDate>false</LinksUpToDate>
  <CharactersWithSpaces>15433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1</cp:revision>
  <dcterms:created xsi:type="dcterms:W3CDTF">2025-06-26T05:38:00Z</dcterms:created>
  <dcterms:modified xsi:type="dcterms:W3CDTF">2025-06-26T05:38:00Z</dcterms:modified>
</cp:coreProperties>
</file>