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2176" w14:textId="77777777" w:rsidR="00D054B2" w:rsidRPr="00D054B2" w:rsidRDefault="00D054B2" w:rsidP="00D054B2">
      <w:pPr>
        <w:rPr>
          <w:b/>
          <w:bCs/>
        </w:rPr>
      </w:pPr>
      <w:r w:rsidRPr="00D054B2">
        <w:rPr>
          <w:b/>
          <w:bCs/>
        </w:rPr>
        <w:t>指数引擎：驾驭摩尔与莱特定律的投资框架</w:t>
      </w:r>
    </w:p>
    <w:p w14:paraId="38CA827C" w14:textId="77777777" w:rsidR="00D054B2" w:rsidRPr="00D054B2" w:rsidRDefault="00D054B2" w:rsidP="00D054B2">
      <w:pPr>
        <w:rPr>
          <w:b/>
          <w:bCs/>
        </w:rPr>
      </w:pPr>
      <w:r w:rsidRPr="00D054B2">
        <w:rPr>
          <w:b/>
          <w:bCs/>
        </w:rPr>
        <w:t>第一部分：核心驱动力：摩尔-莱特飞轮</w:t>
      </w:r>
    </w:p>
    <w:p w14:paraId="4BFCA7FD" w14:textId="77777777" w:rsidR="00D054B2" w:rsidRPr="00D054B2" w:rsidRDefault="00D054B2" w:rsidP="00D054B2">
      <w:r w:rsidRPr="00D054B2">
        <w:t xml:space="preserve">在卡萝塔·佩雷丝（Carlota Perez）描绘的宏伟技术革命图景中，每一次浪潮的兴起都源于生产力的大幅跃升 。然而，是什么在微观层面点燃并维持了这种指数级的能量？答案在于一个强大而常被忽视的双引擎系统：我们称之为“摩尔-莱特飞轮”。这个飞轮由两个基本定律——广义的摩尔定律和莱特定律——协同驱动，它们共同构成了一家公司实现多层面、非线性、指数级增长的底层密码 。理解这个飞轮的运作机制，是本投资框架的基石。   </w:t>
      </w:r>
    </w:p>
    <w:p w14:paraId="36C55FB1" w14:textId="77777777" w:rsidR="00D054B2" w:rsidRPr="00D054B2" w:rsidRDefault="00D054B2" w:rsidP="00D054B2">
      <w:pPr>
        <w:rPr>
          <w:b/>
          <w:bCs/>
        </w:rPr>
      </w:pPr>
      <w:r w:rsidRPr="00D054B2">
        <w:rPr>
          <w:b/>
          <w:bCs/>
        </w:rPr>
        <w:t>1.1 广义摩尔定律：性能的指数级跃迁</w:t>
      </w:r>
    </w:p>
    <w:p w14:paraId="4CF4C76A" w14:textId="77777777" w:rsidR="00D054B2" w:rsidRPr="00D054B2" w:rsidRDefault="00D054B2" w:rsidP="00D054B2">
      <w:r w:rsidRPr="00D054B2">
        <w:t xml:space="preserve">戈登·摩尔最初的观察是，集成电路上的晶体管数量大约每两年翻一番，这一定律在过去半个世纪驱动了整个信息技术产业的飞速发展 。然而，摩尔定律的真正精髓并非仅限于芯片，它代表了一种更普适的现象：   </w:t>
      </w:r>
    </w:p>
    <w:p w14:paraId="65931D99" w14:textId="77777777" w:rsidR="00D054B2" w:rsidRPr="00D054B2" w:rsidRDefault="00D054B2" w:rsidP="00D054B2">
      <w:r w:rsidRPr="00D054B2">
        <w:rPr>
          <w:b/>
          <w:bCs/>
        </w:rPr>
        <w:t>在特定技术领域，关键性能指标与成本的比率随时间呈指数级提升</w:t>
      </w:r>
      <w:r w:rsidRPr="00D054B2">
        <w:t xml:space="preserve"> 。这一定律的“灵魂”在众多领域得以延续和扩展：   </w:t>
      </w:r>
    </w:p>
    <w:p w14:paraId="57E36C98" w14:textId="77777777" w:rsidR="00D054B2" w:rsidRPr="00D054B2" w:rsidRDefault="00D054B2" w:rsidP="00D054B2">
      <w:pPr>
        <w:numPr>
          <w:ilvl w:val="0"/>
          <w:numId w:val="1"/>
        </w:numPr>
      </w:pPr>
      <w:r w:rsidRPr="00D054B2">
        <w:rPr>
          <w:b/>
          <w:bCs/>
        </w:rPr>
        <w:t>人工智能：</w:t>
      </w:r>
      <w:r w:rsidRPr="00D054B2">
        <w:t xml:space="preserve"> AI模型的能力（如参数规模、解决任务的准确率）正经历着惊人的指数级增长 。   </w:t>
      </w:r>
    </w:p>
    <w:p w14:paraId="4AC9E048" w14:textId="77777777" w:rsidR="00D054B2" w:rsidRPr="00D054B2" w:rsidRDefault="00D054B2" w:rsidP="00D054B2">
      <w:pPr>
        <w:numPr>
          <w:ilvl w:val="0"/>
          <w:numId w:val="1"/>
        </w:numPr>
      </w:pPr>
      <w:r w:rsidRPr="00D054B2">
        <w:rPr>
          <w:b/>
          <w:bCs/>
        </w:rPr>
        <w:t>数据存储：</w:t>
      </w:r>
      <w:r w:rsidRPr="00D054B2">
        <w:t xml:space="preserve"> 每美元可购买的存储容量持续翻倍，极大地降低了数据存储的成本 。   </w:t>
      </w:r>
    </w:p>
    <w:p w14:paraId="3DADF48F" w14:textId="77777777" w:rsidR="00D054B2" w:rsidRPr="00D054B2" w:rsidRDefault="00D054B2" w:rsidP="00D054B2">
      <w:pPr>
        <w:numPr>
          <w:ilvl w:val="0"/>
          <w:numId w:val="1"/>
        </w:numPr>
      </w:pPr>
      <w:r w:rsidRPr="00D054B2">
        <w:rPr>
          <w:b/>
          <w:bCs/>
        </w:rPr>
        <w:t>基因测序：</w:t>
      </w:r>
      <w:r w:rsidRPr="00D054B2">
        <w:t xml:space="preserve"> 基因测序的成本下降速度甚至超过了摩尔定律，为生物技术革命提供了动力 。   </w:t>
      </w:r>
    </w:p>
    <w:p w14:paraId="558BF9F3" w14:textId="77777777" w:rsidR="00D054B2" w:rsidRPr="00D054B2" w:rsidRDefault="00D054B2" w:rsidP="00D054B2">
      <w:pPr>
        <w:numPr>
          <w:ilvl w:val="0"/>
          <w:numId w:val="1"/>
        </w:numPr>
      </w:pPr>
      <w:r w:rsidRPr="00D054B2">
        <w:rPr>
          <w:b/>
          <w:bCs/>
        </w:rPr>
        <w:t>通信带宽：</w:t>
      </w:r>
      <w:r w:rsidRPr="00D054B2">
        <w:t xml:space="preserve"> 光纤通信的传输速率同样遵循指数增长，支撑了从文本到高清视频的互联网内容革命 。   </w:t>
      </w:r>
    </w:p>
    <w:p w14:paraId="7600BD9C" w14:textId="77777777" w:rsidR="00D054B2" w:rsidRPr="00D054B2" w:rsidRDefault="00D054B2" w:rsidP="00D054B2">
      <w:r w:rsidRPr="00D054B2">
        <w:t xml:space="preserve">对于投资者而言，识别出那些正沿着“广义摩尔定律”轨道发展的技术至关重要。因为这意味着该技术的能力将以非线性的速度变得更强、更便宜，从而不断解锁新的应用场景，极大地拓宽其潜在市场空间（TAM） 。   </w:t>
      </w:r>
    </w:p>
    <w:p w14:paraId="1576FDD0" w14:textId="77777777" w:rsidR="00D054B2" w:rsidRPr="00D054B2" w:rsidRDefault="00D054B2" w:rsidP="00D054B2">
      <w:pPr>
        <w:rPr>
          <w:b/>
          <w:bCs/>
        </w:rPr>
      </w:pPr>
      <w:r w:rsidRPr="00D054B2">
        <w:rPr>
          <w:b/>
          <w:bCs/>
        </w:rPr>
        <w:t>1.2 莱特定律：规模的成本魔法</w:t>
      </w:r>
    </w:p>
    <w:p w14:paraId="10F3DD05" w14:textId="77777777" w:rsidR="00D054B2" w:rsidRPr="00D054B2" w:rsidRDefault="00D054B2" w:rsidP="00D054B2">
      <w:r w:rsidRPr="00D054B2">
        <w:t>与摩尔定律关注时间维度的进步不同，莱特定律（Wright's Law），又称经验曲线或学习曲线，揭示了</w:t>
      </w:r>
      <w:r w:rsidRPr="00D054B2">
        <w:rPr>
          <w:b/>
          <w:bCs/>
        </w:rPr>
        <w:t>生产规模与成本之间的指数关系：每当累计产量翻一番，单位生产成本便会以一个相对固定的百分比下降</w:t>
      </w:r>
      <w:r w:rsidRPr="00D054B2">
        <w:t xml:space="preserve"> 。这背后是规模经济、工艺优化、供应链效率提升和工人熟练度提高等“学习效应”的综合体现。   </w:t>
      </w:r>
    </w:p>
    <w:p w14:paraId="7672D517" w14:textId="77777777" w:rsidR="00D054B2" w:rsidRPr="00D054B2" w:rsidRDefault="00D054B2" w:rsidP="00D054B2">
      <w:r w:rsidRPr="00D054B2">
        <w:t xml:space="preserve">新能源领域是莱特定律的绝佳试验场。全球光伏组件、风力发电机和锂离子电池的成本，都随着累计出货量的指数级增长而急剧下降 。以锂离子电池为例，从1991年到2018年，其价格下降了约97%，平均学习率（累计产量翻番带来的成本下降比例）高达18.9% 。   </w:t>
      </w:r>
    </w:p>
    <w:p w14:paraId="2E65D01D" w14:textId="77777777" w:rsidR="00D054B2" w:rsidRPr="00D054B2" w:rsidRDefault="00D054B2" w:rsidP="00D054B2">
      <w:r w:rsidRPr="00D054B2">
        <w:t>莱特定律为投资者提供了一个强大的预测工具。它让我们能够预见，当一项新技术的成本通过规模化生产降低到某个“平价引爆点”（例如，与传统技术成本相当或更低）时，市场需求将被彻底引爆，从而进入一个“</w:t>
      </w:r>
      <w:r w:rsidRPr="00D054B2">
        <w:rPr>
          <w:b/>
          <w:bCs/>
        </w:rPr>
        <w:t>成本下降 → 需求增加 → 产量扩大 → 成本进一步下降</w:t>
      </w:r>
      <w:r w:rsidRPr="00D054B2">
        <w:t xml:space="preserve">”的强大正反馈循环 。   </w:t>
      </w:r>
    </w:p>
    <w:p w14:paraId="12EDACA6" w14:textId="77777777" w:rsidR="00D054B2" w:rsidRPr="00D054B2" w:rsidRDefault="00D054B2" w:rsidP="00D054B2">
      <w:pPr>
        <w:rPr>
          <w:b/>
          <w:bCs/>
        </w:rPr>
      </w:pPr>
      <w:r w:rsidRPr="00D054B2">
        <w:rPr>
          <w:b/>
          <w:bCs/>
        </w:rPr>
        <w:t>1.3 飞轮效应：双定律的协同共振</w:t>
      </w:r>
    </w:p>
    <w:p w14:paraId="4305140D" w14:textId="77777777" w:rsidR="00D054B2" w:rsidRPr="00D054B2" w:rsidRDefault="00D054B2" w:rsidP="00D054B2">
      <w:r w:rsidRPr="00D054B2">
        <w:t>当广义摩尔定律与莱特定律在一家公司或一个行业内同时发生作用时，它们会相互啮合，形成一个自我加速、威力无穷的“摩尔-莱特飞轮”。</w:t>
      </w:r>
    </w:p>
    <w:p w14:paraId="34DF15F5" w14:textId="77777777" w:rsidR="00D054B2" w:rsidRPr="00D054B2" w:rsidRDefault="00D054B2" w:rsidP="00D054B2">
      <w:r w:rsidRPr="00D054B2">
        <w:t>其运作机制如下：</w:t>
      </w:r>
    </w:p>
    <w:p w14:paraId="6D5A2CAC" w14:textId="77777777" w:rsidR="00D054B2" w:rsidRPr="00D054B2" w:rsidRDefault="00D054B2" w:rsidP="00D054B2">
      <w:pPr>
        <w:numPr>
          <w:ilvl w:val="0"/>
          <w:numId w:val="2"/>
        </w:numPr>
      </w:pPr>
      <w:r w:rsidRPr="00D054B2">
        <w:rPr>
          <w:b/>
          <w:bCs/>
        </w:rPr>
        <w:t>启动（摩尔定律驱动）：</w:t>
      </w:r>
      <w:r w:rsidRPr="00D054B2">
        <w:t xml:space="preserve"> 一项技术在实验室中实现了性能的指数级突破（广义摩尔定律），使其具备了商业化的潜力，吸引了早期用户和风险资本的关注。</w:t>
      </w:r>
    </w:p>
    <w:p w14:paraId="3770A611" w14:textId="77777777" w:rsidR="00D054B2" w:rsidRPr="00D054B2" w:rsidRDefault="00D054B2" w:rsidP="00D054B2">
      <w:pPr>
        <w:numPr>
          <w:ilvl w:val="0"/>
          <w:numId w:val="2"/>
        </w:numPr>
      </w:pPr>
      <w:r w:rsidRPr="00D054B2">
        <w:rPr>
          <w:b/>
          <w:bCs/>
        </w:rPr>
        <w:t>加速（莱特定律介入）：</w:t>
      </w:r>
      <w:r w:rsidRPr="00D054B2">
        <w:t xml:space="preserve"> 随着初步的商业化，累计产量开始增加。这触发了莱特定律，单位生产成本开始以固定斜率下降。</w:t>
      </w:r>
    </w:p>
    <w:p w14:paraId="779F9D15" w14:textId="77777777" w:rsidR="00D054B2" w:rsidRPr="00D054B2" w:rsidRDefault="00D054B2" w:rsidP="00D054B2">
      <w:pPr>
        <w:numPr>
          <w:ilvl w:val="0"/>
          <w:numId w:val="2"/>
        </w:numPr>
      </w:pPr>
      <w:r w:rsidRPr="00D054B2">
        <w:rPr>
          <w:b/>
          <w:bCs/>
        </w:rPr>
        <w:t>引爆（飞轮共振）：</w:t>
      </w:r>
      <w:r w:rsidRPr="00D054B2">
        <w:t xml:space="preserve"> 成本的下降使得产品价格更具吸引力，市场需求被进一步激发，</w:t>
      </w:r>
      <w:r w:rsidRPr="00D054B2">
        <w:lastRenderedPageBreak/>
        <w:t>销量开始加速增长。销量的增长又反过来极大地加速了累计产量的翻番速度，从而让莱特定律的降本效应变得更加迅猛。</w:t>
      </w:r>
    </w:p>
    <w:p w14:paraId="415A36B3" w14:textId="77777777" w:rsidR="00D054B2" w:rsidRPr="00D054B2" w:rsidRDefault="00D054B2" w:rsidP="00D054B2">
      <w:pPr>
        <w:numPr>
          <w:ilvl w:val="0"/>
          <w:numId w:val="2"/>
        </w:numPr>
      </w:pPr>
      <w:r w:rsidRPr="00D054B2">
        <w:rPr>
          <w:b/>
          <w:bCs/>
        </w:rPr>
        <w:t>强化（反馈循环）：</w:t>
      </w:r>
      <w:r w:rsidRPr="00D054B2">
        <w:t xml:space="preserve"> 规模化带来的巨大利润和数据，又可以反哺到研发环节，为下一代技术的“摩尔定律”式突破提供资金和方向，从而让整个飞轮越转越快，形成难以逾越的竞争壁垒。</w:t>
      </w:r>
    </w:p>
    <w:p w14:paraId="3CF14579" w14:textId="77777777" w:rsidR="00D054B2" w:rsidRPr="00D054B2" w:rsidRDefault="00D054B2" w:rsidP="00D054B2">
      <w:r w:rsidRPr="00D054B2">
        <w:t>这个飞轮完美地解释了为何某些科技公司能够实现看似不可思议的指数级增长。它们并非仅仅依赖单一的技术或成本优势，而是成功地构建并驱动了这个双定律协同的正反馈系统。</w:t>
      </w:r>
    </w:p>
    <w:p w14:paraId="0F0301A3" w14:textId="77777777" w:rsidR="00D054B2" w:rsidRPr="00D054B2" w:rsidRDefault="00D054B2" w:rsidP="00D054B2">
      <w:pPr>
        <w:rPr>
          <w:b/>
          <w:bCs/>
        </w:rPr>
      </w:pPr>
      <w:r w:rsidRPr="00D054B2">
        <w:rPr>
          <w:b/>
          <w:bCs/>
        </w:rPr>
        <w:t>1.4 飞轮的必要条件</w:t>
      </w:r>
    </w:p>
    <w:p w14:paraId="0162730E" w14:textId="77777777" w:rsidR="00D054B2" w:rsidRPr="00D054B2" w:rsidRDefault="00D054B2" w:rsidP="00D054B2">
      <w:r w:rsidRPr="00D054B2">
        <w:t xml:space="preserve">然而，驱动这个强大的飞轮并非易事，它需要一系列苛刻的外部和内部条件作为支撑 ：   </w:t>
      </w:r>
    </w:p>
    <w:p w14:paraId="38E49356" w14:textId="77777777" w:rsidR="00D054B2" w:rsidRPr="00D054B2" w:rsidRDefault="00D054B2" w:rsidP="00D054B2">
      <w:pPr>
        <w:numPr>
          <w:ilvl w:val="0"/>
          <w:numId w:val="3"/>
        </w:numPr>
      </w:pPr>
      <w:r w:rsidRPr="00D054B2">
        <w:rPr>
          <w:b/>
          <w:bCs/>
        </w:rPr>
        <w:t>巨大的潜在市场（TAM）：</w:t>
      </w:r>
      <w:r w:rsidRPr="00D054B2">
        <w:t xml:space="preserve"> 必须有一个足够广阔的市场来消化指数级增长的产能，并为持续的研发和资本开支提供商业回报的想象空间。</w:t>
      </w:r>
    </w:p>
    <w:p w14:paraId="33F52D60" w14:textId="77777777" w:rsidR="00D054B2" w:rsidRPr="00D054B2" w:rsidRDefault="00D054B2" w:rsidP="00D054B2">
      <w:pPr>
        <w:numPr>
          <w:ilvl w:val="0"/>
          <w:numId w:val="3"/>
        </w:numPr>
      </w:pPr>
      <w:r w:rsidRPr="00D054B2">
        <w:rPr>
          <w:b/>
          <w:bCs/>
        </w:rPr>
        <w:t>持续的资本支持：</w:t>
      </w:r>
      <w:r w:rsidRPr="00D054B2">
        <w:t xml:space="preserve"> 尤其在飞轮启动的早期，巨大的前期研发和产能建设投入需要雄厚的资本支持，无论是来自风险投资还是公司自身的盈利。</w:t>
      </w:r>
    </w:p>
    <w:p w14:paraId="5FDA86BA" w14:textId="77777777" w:rsidR="00D054B2" w:rsidRPr="00D054B2" w:rsidRDefault="00D054B2" w:rsidP="00D054B2">
      <w:pPr>
        <w:numPr>
          <w:ilvl w:val="0"/>
          <w:numId w:val="3"/>
        </w:numPr>
      </w:pPr>
      <w:r w:rsidRPr="00D054B2">
        <w:rPr>
          <w:b/>
          <w:bCs/>
        </w:rPr>
        <w:t>科学与工程的持续突破：</w:t>
      </w:r>
      <w:r w:rsidRPr="00D054B2">
        <w:t xml:space="preserve"> 飞轮的转动不能脱离现实，它依赖于基础科学的不断创新和工程技术上将理论转化为可靠产品的能力。</w:t>
      </w:r>
    </w:p>
    <w:p w14:paraId="5D6F7904" w14:textId="77777777" w:rsidR="00D054B2" w:rsidRPr="00D054B2" w:rsidRDefault="00D054B2" w:rsidP="00D054B2">
      <w:pPr>
        <w:numPr>
          <w:ilvl w:val="0"/>
          <w:numId w:val="3"/>
        </w:numPr>
      </w:pPr>
      <w:r w:rsidRPr="00D054B2">
        <w:rPr>
          <w:b/>
          <w:bCs/>
        </w:rPr>
        <w:t>完善的产业链与政策环境：</w:t>
      </w:r>
      <w:r w:rsidRPr="00D054B2">
        <w:t xml:space="preserve"> 一个孤立的技术难以成功，它需要上下游产业链的成熟配套和政府在关键时期（如基础设施建设、标准制定）的政策支持。</w:t>
      </w:r>
    </w:p>
    <w:p w14:paraId="18827A6D" w14:textId="77777777" w:rsidR="00D054B2" w:rsidRPr="00D054B2" w:rsidRDefault="00D054B2" w:rsidP="00D054B2">
      <w:r w:rsidRPr="00D054B2">
        <w:t>只有当这四大条件同时具备时，摩尔-莱特飞轮才能真正启动并持续旋转，为企业带来源源不断的指数级增长动力。</w:t>
      </w:r>
    </w:p>
    <w:p w14:paraId="609F779F" w14:textId="77777777" w:rsidR="00D054B2" w:rsidRPr="00D054B2" w:rsidRDefault="00D054B2" w:rsidP="00D054B2">
      <w:pPr>
        <w:rPr>
          <w:b/>
          <w:bCs/>
        </w:rPr>
      </w:pPr>
      <w:r w:rsidRPr="00D054B2">
        <w:rPr>
          <w:b/>
          <w:bCs/>
        </w:rPr>
        <w:t>第二部分：投资框架：成为指数引擎投资者</w:t>
      </w:r>
    </w:p>
    <w:p w14:paraId="60BCE84D" w14:textId="77777777" w:rsidR="00D054B2" w:rsidRPr="00D054B2" w:rsidRDefault="00D054B2" w:rsidP="00D054B2">
      <w:r w:rsidRPr="00D054B2">
        <w:t xml:space="preserve">基于对“摩尔-莱特飞轮”这一核心驱动力的理解，我们构建了一个全新的投资框架，旨在系统性地识别、分析并投资于那些成功驾驭这台“指数引擎”的公司。本框架的核心哲学依然是“创始人视角”与“交易员视角”的双重思维，但其内涵被重新聚焦于对飞轮的洞察与定价上 。   </w:t>
      </w:r>
    </w:p>
    <w:p w14:paraId="4A28AE22" w14:textId="77777777" w:rsidR="00D054B2" w:rsidRPr="00D054B2" w:rsidRDefault="00D054B2" w:rsidP="00D054B2">
      <w:pPr>
        <w:rPr>
          <w:b/>
          <w:bCs/>
        </w:rPr>
      </w:pPr>
      <w:r w:rsidRPr="00D054B2">
        <w:rPr>
          <w:b/>
          <w:bCs/>
        </w:rPr>
        <w:t>2.1 创始人视角：评估飞轮的质量</w:t>
      </w:r>
    </w:p>
    <w:p w14:paraId="15AD383A" w14:textId="77777777" w:rsidR="00D054B2" w:rsidRPr="00D054B2" w:rsidRDefault="00D054B2" w:rsidP="00D054B2">
      <w:r w:rsidRPr="00D054B2">
        <w:t>在指数引擎投资框架中，创始人视角的核心任务是</w:t>
      </w:r>
      <w:r w:rsidRPr="00D054B2">
        <w:rPr>
          <w:b/>
          <w:bCs/>
        </w:rPr>
        <w:t>评估一家公司构建和驱动其“摩尔-莱特飞轮”的能力和质量</w:t>
      </w:r>
      <w:r w:rsidRPr="00D054B2">
        <w:t>。投资者需要像一位首席战略官一样，深入剖析公司的内在增长引擎：</w:t>
      </w:r>
    </w:p>
    <w:p w14:paraId="3152D5CC" w14:textId="77777777" w:rsidR="00D054B2" w:rsidRPr="00D054B2" w:rsidRDefault="00D054B2" w:rsidP="00D054B2">
      <w:pPr>
        <w:numPr>
          <w:ilvl w:val="0"/>
          <w:numId w:val="4"/>
        </w:numPr>
      </w:pPr>
      <w:r w:rsidRPr="00D054B2">
        <w:rPr>
          <w:b/>
          <w:bCs/>
        </w:rPr>
        <w:t>摩尔定律引擎的评估：</w:t>
      </w:r>
      <w:r w:rsidRPr="00D054B2">
        <w:t xml:space="preserve"> 这家公司的研发战略是否瞄准了某个遵循广义摩尔定律的技术方向？其研发投入、专利布局和人才储备能否支撑其在关键性能上实现持续的、非线性的突破？例如，英伟达持续在GPU架构和CUDA软件上投入巨资，确保其AI算力性能始终沿着指数曲线提升 。   </w:t>
      </w:r>
    </w:p>
    <w:p w14:paraId="51E0CCF3" w14:textId="77777777" w:rsidR="00D054B2" w:rsidRPr="00D054B2" w:rsidRDefault="00D054B2" w:rsidP="00D054B2">
      <w:pPr>
        <w:numPr>
          <w:ilvl w:val="0"/>
          <w:numId w:val="4"/>
        </w:numPr>
      </w:pPr>
      <w:r w:rsidRPr="00D054B2">
        <w:rPr>
          <w:b/>
          <w:bCs/>
        </w:rPr>
        <w:t>莱特定律引擎的评估：</w:t>
      </w:r>
      <w:r w:rsidRPr="00D054B2">
        <w:t xml:space="preserve"> 公司是否拥有清晰的、可实现的规模化降本路径？其制造工艺、供应链管理和运营效率能否支撑其在累计产量翻番时，实现显著的成本下降？例如，比亚迪通过极致的垂直整合，将电池、芯片等核心部件自产，从而在规模扩大的同时牢牢掌控成本曲线 。特斯拉则通过一体化压铸等制造工艺的革命，从生产流程上重塑了成本结构 。   </w:t>
      </w:r>
    </w:p>
    <w:p w14:paraId="382357F3" w14:textId="77777777" w:rsidR="00D054B2" w:rsidRPr="00D054B2" w:rsidRDefault="00D054B2" w:rsidP="00D054B2">
      <w:pPr>
        <w:numPr>
          <w:ilvl w:val="0"/>
          <w:numId w:val="4"/>
        </w:numPr>
      </w:pPr>
      <w:r w:rsidRPr="00D054B2">
        <w:rPr>
          <w:b/>
          <w:bCs/>
        </w:rPr>
        <w:t>飞轮协同性的评估：</w:t>
      </w:r>
      <w:r w:rsidRPr="00D054B2">
        <w:t xml:space="preserve"> 公司的组织架构和战略规划是否能够确保研发（摩尔）与生产（莱特）两个轮子紧密协同、相互促进？例如，特斯拉的FSD（全自动驾驶）数据通过其量产车辆大规模收集，这些数据反过来又用于训练和改进其AI算法，这就是一个典型的飞轮协同案例 。   </w:t>
      </w:r>
    </w:p>
    <w:p w14:paraId="3EF1DEAB" w14:textId="77777777" w:rsidR="00D054B2" w:rsidRPr="00D054B2" w:rsidRDefault="00D054B2" w:rsidP="00D054B2">
      <w:r w:rsidRPr="00D054B2">
        <w:t>创始人视角要求投资者穿透财报的表面数字，洞察到企业增长的根本动力来源。一个拥有高质量、高协同性“摩尔-莱特飞轮”的公司，是本框架下最理想的长期投资标的。</w:t>
      </w:r>
    </w:p>
    <w:p w14:paraId="5FF81458" w14:textId="77777777" w:rsidR="00D054B2" w:rsidRPr="00D054B2" w:rsidRDefault="00D054B2" w:rsidP="00D054B2">
      <w:pPr>
        <w:rPr>
          <w:b/>
          <w:bCs/>
        </w:rPr>
      </w:pPr>
      <w:r w:rsidRPr="00D054B2">
        <w:rPr>
          <w:b/>
          <w:bCs/>
        </w:rPr>
        <w:t>2.2 交易员视角：定价飞轮的预期差</w:t>
      </w:r>
    </w:p>
    <w:p w14:paraId="4B316616" w14:textId="77777777" w:rsidR="00D054B2" w:rsidRPr="00D054B2" w:rsidRDefault="00D054B2" w:rsidP="00D054B2">
      <w:r w:rsidRPr="00D054B2">
        <w:t>交易员视角则承认，市场在为这种非线性的指数级增长定价时，往往会犯错，从而产生巨大</w:t>
      </w:r>
      <w:r w:rsidRPr="00D054B2">
        <w:lastRenderedPageBreak/>
        <w:t>的</w:t>
      </w:r>
      <w:r w:rsidRPr="00D054B2">
        <w:rPr>
          <w:b/>
          <w:bCs/>
        </w:rPr>
        <w:t>预期差</w:t>
      </w:r>
      <w:r w:rsidRPr="00D054B2">
        <w:t>。其核心任务是</w:t>
      </w:r>
      <w:r w:rsidRPr="00D054B2">
        <w:rPr>
          <w:b/>
          <w:bCs/>
        </w:rPr>
        <w:t>识别并利用市场对“摩尔-莱特飞轮”的错误定价</w:t>
      </w:r>
      <w:r w:rsidRPr="00D054B2">
        <w:t>。</w:t>
      </w:r>
    </w:p>
    <w:p w14:paraId="412625F8" w14:textId="77777777" w:rsidR="00D054B2" w:rsidRPr="00D054B2" w:rsidRDefault="00D054B2" w:rsidP="00D054B2">
      <w:pPr>
        <w:numPr>
          <w:ilvl w:val="0"/>
          <w:numId w:val="5"/>
        </w:numPr>
      </w:pPr>
      <w:r w:rsidRPr="00D054B2">
        <w:rPr>
          <w:b/>
          <w:bCs/>
        </w:rPr>
        <w:t>识别非线性拐点：</w:t>
      </w:r>
      <w:r w:rsidRPr="00D054B2">
        <w:t xml:space="preserve"> 市场习惯于线性外推，当一家公司的增长从线性转为指数时（即飞轮开始加速时），市场往往反应不足，给予其过低的估值。交易员视角需要敏锐地捕捉到这些“业绩持续超预期”的拐G点，并在市场修正其线性预期之前介入 。   </w:t>
      </w:r>
    </w:p>
    <w:p w14:paraId="6F8B7BF9" w14:textId="77777777" w:rsidR="00D054B2" w:rsidRPr="00D054B2" w:rsidRDefault="00D054B2" w:rsidP="00D054B2">
      <w:pPr>
        <w:numPr>
          <w:ilvl w:val="0"/>
          <w:numId w:val="5"/>
        </w:numPr>
      </w:pPr>
      <w:r w:rsidRPr="00D054B2">
        <w:rPr>
          <w:b/>
          <w:bCs/>
        </w:rPr>
        <w:t>驾驭情绪周期：</w:t>
      </w:r>
      <w:r w:rsidRPr="00D054B2">
        <w:t xml:space="preserve"> 指数引擎型公司的股价往往波动巨大。在佩雷丝周期的“狂热期”，市场可能会过度高估飞轮的短期威力，导致估值泡沫 。而在“转折点”，市场又可能因恐慌而过度低估其长期价值。交易员视角要求投资者利用市场情绪指标和技术分析，在市场狂热时保持警惕、适时止盈，在市场恐慌时逆向布局，从而优化风险收益比 。   </w:t>
      </w:r>
    </w:p>
    <w:p w14:paraId="551FFA57" w14:textId="77777777" w:rsidR="00D054B2" w:rsidRPr="00D054B2" w:rsidRDefault="00D054B2" w:rsidP="00D054B2">
      <w:pPr>
        <w:numPr>
          <w:ilvl w:val="0"/>
          <w:numId w:val="5"/>
        </w:numPr>
      </w:pPr>
      <w:r w:rsidRPr="00D054B2">
        <w:rPr>
          <w:b/>
          <w:bCs/>
        </w:rPr>
        <w:t>量化风险与回报：</w:t>
      </w:r>
      <w:r w:rsidRPr="00D054B2">
        <w:t xml:space="preserve"> 交易员视角强调概率和赔率。对于一个潜在的指数引擎公司，需要评估其飞轮成功转动的概率（胜率），以及成功后可能带来的巨大回报与失败后可能损失的比率（赔率）。通过多情景分析，为不同的飞轮运转结果赋予概率，从而做出理性的仓位管理决策 。   </w:t>
      </w:r>
    </w:p>
    <w:p w14:paraId="46D3B140" w14:textId="77777777" w:rsidR="00D054B2" w:rsidRPr="00D054B2" w:rsidRDefault="00D054B2" w:rsidP="00D054B2">
      <w:r w:rsidRPr="00D054B2">
        <w:t>通过将创始人视角对飞轮质量的深度理解，与交易员视角对市场定价偏差的敏锐把握相结合，投资者便能构建起一个既能洞察长期价值，又能驾驭短期波动的强大投资体系。</w:t>
      </w:r>
    </w:p>
    <w:p w14:paraId="4243AF54" w14:textId="77777777" w:rsidR="00D054B2" w:rsidRPr="00D054B2" w:rsidRDefault="00D054B2" w:rsidP="00D054B2">
      <w:pPr>
        <w:rPr>
          <w:b/>
          <w:bCs/>
        </w:rPr>
      </w:pPr>
      <w:r w:rsidRPr="00D054B2">
        <w:rPr>
          <w:b/>
          <w:bCs/>
        </w:rPr>
        <w:t>第三部分：投资流程：一个六步闭环分析系统</w:t>
      </w:r>
    </w:p>
    <w:p w14:paraId="39AA0381" w14:textId="77777777" w:rsidR="00D054B2" w:rsidRPr="00D054B2" w:rsidRDefault="00D054B2" w:rsidP="00D054B2">
      <w:r w:rsidRPr="00D054B2">
        <w:t>本部分将上述投资框架转化为一套具体、可重复的六步闭环分析流程。该流程旨在系统性地指导投资者（或AI研究助理）完成从发现、分析到投资“指数引擎”公司的全过程，确保每一项决策都有严谨的逻辑和数据支撑。</w:t>
      </w:r>
    </w:p>
    <w:p w14:paraId="4A554B79" w14:textId="77777777" w:rsidR="00D054B2" w:rsidRPr="00D054B2" w:rsidRDefault="00D054B2" w:rsidP="00D054B2">
      <w:pPr>
        <w:rPr>
          <w:b/>
          <w:bCs/>
        </w:rPr>
      </w:pPr>
      <w:r w:rsidRPr="00D054B2">
        <w:rPr>
          <w:b/>
          <w:bCs/>
        </w:rPr>
        <w:t>步骤一：识别指数引擎——寻找潜在的飞轮</w:t>
      </w:r>
    </w:p>
    <w:p w14:paraId="453D321B" w14:textId="77777777" w:rsidR="00D054B2" w:rsidRPr="00D054B2" w:rsidRDefault="00D054B2" w:rsidP="00D054B2">
      <w:r w:rsidRPr="00D054B2">
        <w:t>投资的第一步是在广阔的市场中，识别出哪些行业或公司可能正在构建“摩尔-莱特飞轮”。</w:t>
      </w:r>
    </w:p>
    <w:p w14:paraId="57B804C8" w14:textId="77777777" w:rsidR="00D054B2" w:rsidRPr="00D054B2" w:rsidRDefault="00D054B2" w:rsidP="00D054B2">
      <w:pPr>
        <w:numPr>
          <w:ilvl w:val="0"/>
          <w:numId w:val="6"/>
        </w:numPr>
      </w:pPr>
      <w:r w:rsidRPr="00D054B2">
        <w:rPr>
          <w:b/>
          <w:bCs/>
        </w:rPr>
        <w:t>AI研究指南：</w:t>
      </w:r>
    </w:p>
    <w:p w14:paraId="499C57BB" w14:textId="77777777" w:rsidR="00D054B2" w:rsidRPr="00D054B2" w:rsidRDefault="00D054B2" w:rsidP="00D054B2">
      <w:r w:rsidRPr="00D054B2">
        <w:rPr>
          <w:b/>
          <w:bCs/>
        </w:rPr>
        <w:t>指令：</w:t>
      </w:r>
      <w:r w:rsidRPr="00D054B2">
        <w:t xml:space="preserve"> “扫描学术数据库（如ResearchGate ）、行业研究报告（如BNEF , IEA ）、技术媒体和专利数据库。使用关键词组合，如‘技术S曲线 (technology S-curve)’ 、‘指数级提升 (exponential improvement)’、‘成本下降曲线 (cost curve)’、‘学习率 (learning rate)’、‘经验曲线 (experience curve)’、‘性能/成本比 (price-performance ratio)’。识别出在计算、能源、生物技术等领域，同时展现出性能指数级提升和成本随规模下降趋势的技术。列出这些技术及其关键参与公司。”   </w:t>
      </w:r>
    </w:p>
    <w:p w14:paraId="0DDE6A11" w14:textId="77777777" w:rsidR="00D054B2" w:rsidRPr="00D054B2" w:rsidRDefault="00D054B2" w:rsidP="00D054B2">
      <w:pPr>
        <w:rPr>
          <w:b/>
          <w:bCs/>
        </w:rPr>
      </w:pPr>
      <w:r w:rsidRPr="00D054B2">
        <w:rPr>
          <w:b/>
          <w:bCs/>
        </w:rPr>
        <w:t>步骤二：分析飞轮强度——评估引擎的质量</w:t>
      </w:r>
    </w:p>
    <w:p w14:paraId="2897CC71" w14:textId="77777777" w:rsidR="00D054B2" w:rsidRPr="00D054B2" w:rsidRDefault="00D054B2" w:rsidP="00D054B2">
      <w:r w:rsidRPr="00D054B2">
        <w:t>在筛选出潜在标的后，需要深入分析其“摩尔-莱特飞轮”的内在强度和可持续性。</w:t>
      </w:r>
    </w:p>
    <w:p w14:paraId="628AE2B7" w14:textId="77777777" w:rsidR="00D054B2" w:rsidRPr="00D054B2" w:rsidRDefault="00D054B2" w:rsidP="00D054B2">
      <w:pPr>
        <w:numPr>
          <w:ilvl w:val="0"/>
          <w:numId w:val="7"/>
        </w:numPr>
      </w:pPr>
      <w:r w:rsidRPr="00D054B2">
        <w:rPr>
          <w:b/>
          <w:bCs/>
        </w:rPr>
        <w:t>AI研究指南：</w:t>
      </w:r>
    </w:p>
    <w:p w14:paraId="05287441" w14:textId="77777777" w:rsidR="00D054B2" w:rsidRPr="00D054B2" w:rsidRDefault="00D054B2" w:rsidP="00D054B2">
      <w:r w:rsidRPr="00D054B2">
        <w:rPr>
          <w:b/>
          <w:bCs/>
        </w:rPr>
        <w:t>指令：</w:t>
      </w:r>
      <w:r w:rsidRPr="00D054B2">
        <w:t xml:space="preserve"> “针对目标公司 </w:t>
      </w:r>
      <w:r w:rsidRPr="00D054B2">
        <w:rPr>
          <w:b/>
          <w:bCs/>
        </w:rPr>
        <w:t>[输入公司名称]</w:t>
      </w:r>
      <w:r w:rsidRPr="00D054B2">
        <w:t>，执行以下多维度分析：</w:t>
      </w:r>
    </w:p>
    <w:p w14:paraId="7C00990F" w14:textId="77777777" w:rsidR="00D054B2" w:rsidRPr="00D054B2" w:rsidRDefault="00D054B2" w:rsidP="00D054B2">
      <w:pPr>
        <w:numPr>
          <w:ilvl w:val="1"/>
          <w:numId w:val="7"/>
        </w:numPr>
      </w:pPr>
      <w:r w:rsidRPr="00D054B2">
        <w:rPr>
          <w:b/>
          <w:bCs/>
        </w:rPr>
        <w:t>摩尔引擎强度：</w:t>
      </w:r>
      <w:r w:rsidRPr="00D054B2">
        <w:t xml:space="preserve"> 提取并分析公司过去五年的研发支出、研发人员占比、相关领域专利申请数量及引用率。分析其技术白皮书和产品发布会，评估其技术路线图是否与广义摩尔定律的趋势一致。</w:t>
      </w:r>
    </w:p>
    <w:p w14:paraId="3DFCBE2C" w14:textId="77777777" w:rsidR="00D054B2" w:rsidRPr="00D054B2" w:rsidRDefault="00D054B2" w:rsidP="00D054B2">
      <w:pPr>
        <w:numPr>
          <w:ilvl w:val="1"/>
          <w:numId w:val="7"/>
        </w:numPr>
      </w:pPr>
      <w:r w:rsidRPr="00D054B2">
        <w:rPr>
          <w:b/>
          <w:bCs/>
        </w:rPr>
        <w:t>莱特引擎强度：</w:t>
      </w:r>
      <w:r w:rsidRPr="00D054B2">
        <w:t xml:space="preserve"> 分析公司的制造策略（如‘垂直整合’ 、‘工艺创新’、‘一体化压铸’ ）、资本支出计划（尤其是新工厂投资）和供应链管理能力。寻找证据表明其单位成本随累计产量显著下降。   </w:t>
      </w:r>
    </w:p>
    <w:p w14:paraId="24188337" w14:textId="77777777" w:rsidR="00D054B2" w:rsidRPr="00D054B2" w:rsidRDefault="00D054B2" w:rsidP="00D054B2">
      <w:pPr>
        <w:numPr>
          <w:ilvl w:val="1"/>
          <w:numId w:val="7"/>
        </w:numPr>
      </w:pPr>
      <w:r w:rsidRPr="00D054B2">
        <w:rPr>
          <w:b/>
          <w:bCs/>
        </w:rPr>
        <w:t>外部条件评估：</w:t>
      </w:r>
      <w:r w:rsidRPr="00D054B2">
        <w:t xml:space="preserve"> 评估其目标市场规模（TAM）、融资能力（参考VC数据库如PitchBook , CB Insights ）以及所处的政策环境是否有利。   </w:t>
      </w:r>
    </w:p>
    <w:p w14:paraId="5B6E97AA" w14:textId="77777777" w:rsidR="00D054B2" w:rsidRPr="00D054B2" w:rsidRDefault="00D054B2" w:rsidP="00D054B2">
      <w:r w:rsidRPr="00D054B2">
        <w:t>最终，为该公司的飞轮强度生成一个综合评分（1-10分），并附上支持性证据摘要。”</w:t>
      </w:r>
    </w:p>
    <w:p w14:paraId="3CBD47EC" w14:textId="77777777" w:rsidR="00D054B2" w:rsidRPr="00D054B2" w:rsidRDefault="00D054B2" w:rsidP="00D054B2">
      <w:pPr>
        <w:rPr>
          <w:b/>
          <w:bCs/>
        </w:rPr>
      </w:pPr>
      <w:r w:rsidRPr="00D054B2">
        <w:rPr>
          <w:b/>
          <w:bCs/>
        </w:rPr>
        <w:t>步骤三：定位引爆点——捕捉价值重估的催化剂</w:t>
      </w:r>
    </w:p>
    <w:p w14:paraId="447D098B" w14:textId="77777777" w:rsidR="00D054B2" w:rsidRPr="00D054B2" w:rsidRDefault="00D054B2" w:rsidP="00D054B2">
      <w:r w:rsidRPr="00D054B2">
        <w:t xml:space="preserve">指数引擎的价值释放并非匀速过程，而是在某些关键的“引爆点”或催化剂出现时，发生阶梯式的重估。本框架沿用并深化了三大催化剂的识别 ：   </w:t>
      </w:r>
    </w:p>
    <w:p w14:paraId="0BE3E70D" w14:textId="77777777" w:rsidR="00D054B2" w:rsidRPr="00D054B2" w:rsidRDefault="00D054B2" w:rsidP="00D054B2">
      <w:pPr>
        <w:numPr>
          <w:ilvl w:val="0"/>
          <w:numId w:val="8"/>
        </w:numPr>
      </w:pPr>
      <w:r w:rsidRPr="00D054B2">
        <w:rPr>
          <w:b/>
          <w:bCs/>
        </w:rPr>
        <w:lastRenderedPageBreak/>
        <w:t>技术可行性验证：</w:t>
      </w:r>
      <w:r w:rsidRPr="00D054B2">
        <w:t xml:space="preserve"> 飞轮的“摩尔定律”引擎首次向世界展示其惊人威力，市场疑虑消除。</w:t>
      </w:r>
    </w:p>
    <w:p w14:paraId="41239120" w14:textId="77777777" w:rsidR="00D054B2" w:rsidRPr="00D054B2" w:rsidRDefault="00D054B2" w:rsidP="00D054B2">
      <w:pPr>
        <w:numPr>
          <w:ilvl w:val="0"/>
          <w:numId w:val="8"/>
        </w:numPr>
      </w:pPr>
      <w:r w:rsidRPr="00D054B2">
        <w:rPr>
          <w:b/>
          <w:bCs/>
        </w:rPr>
        <w:t>规模化能力建成：</w:t>
      </w:r>
      <w:r w:rsidRPr="00D054B2">
        <w:t xml:space="preserve"> 飞轮的“莱特定律”引擎开始全速运转，成本下降的魔法得到验证。</w:t>
      </w:r>
    </w:p>
    <w:p w14:paraId="0C834355" w14:textId="77777777" w:rsidR="00D054B2" w:rsidRPr="00D054B2" w:rsidRDefault="00D054B2" w:rsidP="00D054B2">
      <w:pPr>
        <w:numPr>
          <w:ilvl w:val="0"/>
          <w:numId w:val="8"/>
        </w:numPr>
      </w:pPr>
      <w:r w:rsidRPr="00D054B2">
        <w:rPr>
          <w:b/>
          <w:bCs/>
        </w:rPr>
        <w:t>业绩持续超预期：</w:t>
      </w:r>
      <w:r w:rsidRPr="00D054B2">
        <w:t xml:space="preserve"> 整个飞轮的强大输出，最终以远超市场线性预期的财务数据体现出来。</w:t>
      </w:r>
    </w:p>
    <w:p w14:paraId="22BACB07" w14:textId="77777777" w:rsidR="00D054B2" w:rsidRPr="00D054B2" w:rsidRDefault="00D054B2" w:rsidP="00D054B2">
      <w:pPr>
        <w:numPr>
          <w:ilvl w:val="0"/>
          <w:numId w:val="9"/>
        </w:numPr>
      </w:pPr>
      <w:r w:rsidRPr="00D054B2">
        <w:rPr>
          <w:b/>
          <w:bCs/>
        </w:rPr>
        <w:t>AI研究指南：</w:t>
      </w:r>
    </w:p>
    <w:p w14:paraId="730B9964" w14:textId="77777777" w:rsidR="00D054B2" w:rsidRPr="00D054B2" w:rsidRDefault="00D054B2" w:rsidP="00D054B2">
      <w:r w:rsidRPr="00D054B2">
        <w:rPr>
          <w:b/>
          <w:bCs/>
        </w:rPr>
        <w:t>指令：</w:t>
      </w:r>
      <w:r w:rsidRPr="00D054B2">
        <w:t xml:space="preserve"> “为目标公司 </w:t>
      </w:r>
      <w:r w:rsidRPr="00D054B2">
        <w:rPr>
          <w:b/>
          <w:bCs/>
        </w:rPr>
        <w:t>[输入公司名称]</w:t>
      </w:r>
      <w:r w:rsidRPr="00D054B2">
        <w:t xml:space="preserve"> 设立一个实时新闻和公告监控系统。设置三组关键词触发器：</w:t>
      </w:r>
    </w:p>
    <w:p w14:paraId="1F0886F8" w14:textId="77777777" w:rsidR="00D054B2" w:rsidRPr="00D054B2" w:rsidRDefault="00D054B2" w:rsidP="00D054B2">
      <w:pPr>
        <w:numPr>
          <w:ilvl w:val="1"/>
          <w:numId w:val="9"/>
        </w:numPr>
      </w:pPr>
      <w:r w:rsidRPr="00D054B2">
        <w:rPr>
          <w:b/>
          <w:bCs/>
        </w:rPr>
        <w:t>催化剂1（技术）：</w:t>
      </w:r>
      <w:r w:rsidRPr="00D054B2">
        <w:t xml:space="preserve"> ‘技术突破 (technological breakthrough)’、‘里程碑 (milestone)’、‘性能验证 (performance validation)’、‘10倍提升 (10x improvement)’。</w:t>
      </w:r>
    </w:p>
    <w:p w14:paraId="252E9277" w14:textId="77777777" w:rsidR="00D054B2" w:rsidRPr="00D054B2" w:rsidRDefault="00D054B2" w:rsidP="00D054B2">
      <w:pPr>
        <w:numPr>
          <w:ilvl w:val="1"/>
          <w:numId w:val="9"/>
        </w:numPr>
      </w:pPr>
      <w:r w:rsidRPr="00D054B2">
        <w:rPr>
          <w:b/>
          <w:bCs/>
        </w:rPr>
        <w:t>催化剂2（量产）：</w:t>
      </w:r>
      <w:r w:rsidRPr="00D054B2">
        <w:t xml:space="preserve"> ‘大规模生产 (mass production)’、‘工厂投产 (factory launch)’、‘产能爬坡 (ramp up production)’、‘成本平价 (cost parity)’。</w:t>
      </w:r>
    </w:p>
    <w:p w14:paraId="06B5A5D1" w14:textId="77777777" w:rsidR="00D054B2" w:rsidRPr="00D054B2" w:rsidRDefault="00D054B2" w:rsidP="00D054B2">
      <w:pPr>
        <w:numPr>
          <w:ilvl w:val="1"/>
          <w:numId w:val="9"/>
        </w:numPr>
      </w:pPr>
      <w:r w:rsidRPr="00D054B2">
        <w:rPr>
          <w:b/>
          <w:bCs/>
        </w:rPr>
        <w:t>催化剂3（业绩）：</w:t>
      </w:r>
      <w:r w:rsidRPr="00D054B2">
        <w:t xml:space="preserve"> ‘业绩超预期 (earnings beat)’、‘上调指引 (raises guidance)’、‘创纪录收入 (record revenue)’。</w:t>
      </w:r>
    </w:p>
    <w:p w14:paraId="01A6FA74" w14:textId="77777777" w:rsidR="00D054B2" w:rsidRPr="00D054B2" w:rsidRDefault="00D054B2" w:rsidP="00D054B2">
      <w:r w:rsidRPr="00D054B2">
        <w:t>当任一触发器被激活时，立即生成一份简报，分析该事件对公司飞轮运转的意义，并评估其对估值可能产生的影响。”</w:t>
      </w:r>
    </w:p>
    <w:p w14:paraId="7DE2D81A" w14:textId="77777777" w:rsidR="00D054B2" w:rsidRPr="00D054B2" w:rsidRDefault="00D054B2" w:rsidP="00D054B2">
      <w:pPr>
        <w:rPr>
          <w:b/>
          <w:bCs/>
        </w:rPr>
      </w:pPr>
      <w:r w:rsidRPr="00D054B2">
        <w:rPr>
          <w:b/>
          <w:bCs/>
        </w:rPr>
        <w:t>步骤四：量化机会——非线性的估值模型</w:t>
      </w:r>
    </w:p>
    <w:p w14:paraId="028964D9" w14:textId="77777777" w:rsidR="00D054B2" w:rsidRPr="00D054B2" w:rsidRDefault="00D054B2" w:rsidP="00D054B2">
      <w:r w:rsidRPr="00D054B2">
        <w:t>对指数引擎公司进行估值，必须摒弃线性思维，采用能够反映其非线性增长特性的模型。</w:t>
      </w:r>
    </w:p>
    <w:p w14:paraId="6BEE7A2C" w14:textId="77777777" w:rsidR="00D054B2" w:rsidRPr="00D054B2" w:rsidRDefault="00D054B2" w:rsidP="00D054B2">
      <w:pPr>
        <w:numPr>
          <w:ilvl w:val="0"/>
          <w:numId w:val="10"/>
        </w:numPr>
      </w:pPr>
      <w:r w:rsidRPr="00D054B2">
        <w:rPr>
          <w:b/>
          <w:bCs/>
        </w:rPr>
        <w:t>AI研究指南：</w:t>
      </w:r>
    </w:p>
    <w:p w14:paraId="36D1E3AC" w14:textId="77777777" w:rsidR="00D054B2" w:rsidRPr="00D054B2" w:rsidRDefault="00D054B2" w:rsidP="00D054B2">
      <w:r w:rsidRPr="00D054B2">
        <w:rPr>
          <w:b/>
          <w:bCs/>
        </w:rPr>
        <w:t>指令：</w:t>
      </w:r>
      <w:r w:rsidRPr="00D054B2">
        <w:t xml:space="preserve"> “为 </w:t>
      </w:r>
      <w:r w:rsidRPr="00D054B2">
        <w:rPr>
          <w:b/>
          <w:bCs/>
        </w:rPr>
        <w:t>[输入公司名称]</w:t>
      </w:r>
      <w:r w:rsidRPr="00D054B2">
        <w:t xml:space="preserve"> 构建一个为期10年的多情景动态财务模型。</w:t>
      </w:r>
    </w:p>
    <w:p w14:paraId="2D180771" w14:textId="77777777" w:rsidR="00D054B2" w:rsidRPr="00D054B2" w:rsidRDefault="00D054B2" w:rsidP="00D054B2">
      <w:pPr>
        <w:numPr>
          <w:ilvl w:val="1"/>
          <w:numId w:val="10"/>
        </w:numPr>
      </w:pPr>
      <w:r w:rsidRPr="00D054B2">
        <w:rPr>
          <w:b/>
          <w:bCs/>
        </w:rPr>
        <w:t>收入预测模块：</w:t>
      </w:r>
      <w:r w:rsidRPr="00D054B2">
        <w:t xml:space="preserve"> 基于其‘摩尔定律’驱动因素（如算力需求年增长率、技术渗透率S曲线 ）来预测销量或服务需求的非线性增长。   </w:t>
      </w:r>
    </w:p>
    <w:p w14:paraId="0DE2383F" w14:textId="77777777" w:rsidR="00D054B2" w:rsidRPr="00D054B2" w:rsidRDefault="00D054B2" w:rsidP="00D054B2">
      <w:pPr>
        <w:numPr>
          <w:ilvl w:val="1"/>
          <w:numId w:val="10"/>
        </w:numPr>
      </w:pPr>
      <w:r w:rsidRPr="00D054B2">
        <w:rPr>
          <w:b/>
          <w:bCs/>
        </w:rPr>
        <w:t>成本预测模块：</w:t>
      </w:r>
      <w:r w:rsidRPr="00D054B2">
        <w:t xml:space="preserve"> 应用‘莱特定律’，根据预测的累计产量，以设定的学习率（例如15-20%）来预测单位成本的下降，从而推导毛利率的动态变化。</w:t>
      </w:r>
    </w:p>
    <w:p w14:paraId="3A947339" w14:textId="77777777" w:rsidR="00D054B2" w:rsidRPr="00D054B2" w:rsidRDefault="00D054B2" w:rsidP="00D054B2">
      <w:pPr>
        <w:numPr>
          <w:ilvl w:val="1"/>
          <w:numId w:val="10"/>
        </w:numPr>
      </w:pPr>
      <w:r w:rsidRPr="00D054B2">
        <w:rPr>
          <w:b/>
          <w:bCs/>
        </w:rPr>
        <w:t>情景分析：</w:t>
      </w:r>
      <w:r w:rsidRPr="00D054B2">
        <w:t xml:space="preserve"> 构建‘乐观’（飞轮高速运转）、‘中性’（正常运转）和‘悲观’（飞轮失速）三种情景。为每个情景下的关键假设（如技术进步速度、学习率、市场份额）设定不同参数。</w:t>
      </w:r>
    </w:p>
    <w:p w14:paraId="6C151D3B" w14:textId="77777777" w:rsidR="00D054B2" w:rsidRPr="00D054B2" w:rsidRDefault="00D054B2" w:rsidP="00D054B2">
      <w:pPr>
        <w:numPr>
          <w:ilvl w:val="1"/>
          <w:numId w:val="10"/>
        </w:numPr>
      </w:pPr>
      <w:r w:rsidRPr="00D054B2">
        <w:rPr>
          <w:b/>
          <w:bCs/>
        </w:rPr>
        <w:t>估值计算：</w:t>
      </w:r>
      <w:r w:rsidRPr="00D054B2">
        <w:t xml:space="preserve"> 对每种情景运行DCF（贴现现金流）分析，得出三个不同的内在价值。最后，根据主观判断赋予概率（如乐观30%、中性50%、悲观20%），计算出概率加权的期望估值。将此期望估值与当前市值进行比较。”</w:t>
      </w:r>
    </w:p>
    <w:p w14:paraId="010F643D" w14:textId="77777777" w:rsidR="00D054B2" w:rsidRPr="00D054B2" w:rsidRDefault="00D054B2" w:rsidP="00D054B2">
      <w:pPr>
        <w:rPr>
          <w:b/>
          <w:bCs/>
        </w:rPr>
      </w:pPr>
      <w:r w:rsidRPr="00D054B2">
        <w:rPr>
          <w:b/>
          <w:bCs/>
        </w:rPr>
        <w:t>步骤五：构建组合——核心与卫星的动态配置</w:t>
      </w:r>
    </w:p>
    <w:p w14:paraId="468518C1" w14:textId="77777777" w:rsidR="00D054B2" w:rsidRPr="00D054B2" w:rsidRDefault="00D054B2" w:rsidP="00D054B2">
      <w:r w:rsidRPr="00D054B2">
        <w:t>个股决策最终需服务于整体投资组合的风险收益目标。</w:t>
      </w:r>
    </w:p>
    <w:p w14:paraId="7B137E7A" w14:textId="77777777" w:rsidR="00D054B2" w:rsidRPr="00D054B2" w:rsidRDefault="00D054B2" w:rsidP="00D054B2">
      <w:pPr>
        <w:numPr>
          <w:ilvl w:val="0"/>
          <w:numId w:val="11"/>
        </w:numPr>
      </w:pPr>
      <w:r w:rsidRPr="00D054B2">
        <w:rPr>
          <w:b/>
          <w:bCs/>
        </w:rPr>
        <w:t>AI研究指南：</w:t>
      </w:r>
    </w:p>
    <w:p w14:paraId="35E7F5DF" w14:textId="77777777" w:rsidR="00D054B2" w:rsidRPr="00D054B2" w:rsidRDefault="00D054B2" w:rsidP="00D054B2">
      <w:r w:rsidRPr="00D054B2">
        <w:rPr>
          <w:b/>
          <w:bCs/>
        </w:rPr>
        <w:t>指令：</w:t>
      </w:r>
      <w:r w:rsidRPr="00D054B2">
        <w:t xml:space="preserve"> “根据步骤二的‘飞轮强度’分析和步骤四的估值结果，对投资标的进行分类：</w:t>
      </w:r>
    </w:p>
    <w:p w14:paraId="1ED0470D" w14:textId="77777777" w:rsidR="00D054B2" w:rsidRPr="00D054B2" w:rsidRDefault="00D054B2" w:rsidP="00D054B2">
      <w:pPr>
        <w:numPr>
          <w:ilvl w:val="1"/>
          <w:numId w:val="11"/>
        </w:numPr>
      </w:pPr>
      <w:r w:rsidRPr="00D054B2">
        <w:rPr>
          <w:b/>
          <w:bCs/>
        </w:rPr>
        <w:t>核心持仓 (Core)：</w:t>
      </w:r>
      <w:r w:rsidRPr="00D054B2">
        <w:t xml:space="preserve"> 飞轮强度评分高（≥8分）且当前价格低于或接近期望估值的公司。</w:t>
      </w:r>
    </w:p>
    <w:p w14:paraId="37428BCC" w14:textId="77777777" w:rsidR="00D054B2" w:rsidRPr="00D054B2" w:rsidRDefault="00D054B2" w:rsidP="00D054B2">
      <w:pPr>
        <w:numPr>
          <w:ilvl w:val="1"/>
          <w:numId w:val="11"/>
        </w:numPr>
      </w:pPr>
      <w:r w:rsidRPr="00D054B2">
        <w:rPr>
          <w:b/>
          <w:bCs/>
        </w:rPr>
        <w:t>卫星持仓 (Satellite)：</w:t>
      </w:r>
      <w:r w:rsidRPr="00D054B2">
        <w:t xml:space="preserve"> 飞轮强度评分中等（5-7分），或估值偏高但有明确催化剂预期的公司。</w:t>
      </w:r>
    </w:p>
    <w:p w14:paraId="0EF9F54B" w14:textId="77777777" w:rsidR="00D054B2" w:rsidRPr="00D054B2" w:rsidRDefault="00D054B2" w:rsidP="00D054B2">
      <w:pPr>
        <w:numPr>
          <w:ilvl w:val="1"/>
          <w:numId w:val="11"/>
        </w:numPr>
      </w:pPr>
      <w:r w:rsidRPr="00D054B2">
        <w:rPr>
          <w:b/>
          <w:bCs/>
        </w:rPr>
        <w:t>观察列表 (Watchlist)：</w:t>
      </w:r>
      <w:r w:rsidRPr="00D054B2">
        <w:t xml:space="preserve"> 飞轮处于早期构建阶段（&lt;5分）或估值过高的公司。 基于此分类，为投资组合生成一个建议的配置方案，例如：核心仓位占比60%，卫星仓位占比20%，现金20%。并设定单只股票的持仓上限（如核心15%，卫星5%）。”</w:t>
      </w:r>
    </w:p>
    <w:p w14:paraId="2643EC1B" w14:textId="77777777" w:rsidR="00D054B2" w:rsidRPr="00D054B2" w:rsidRDefault="00D054B2" w:rsidP="00D054B2">
      <w:pPr>
        <w:rPr>
          <w:b/>
          <w:bCs/>
        </w:rPr>
      </w:pPr>
      <w:r w:rsidRPr="00D054B2">
        <w:rPr>
          <w:b/>
          <w:bCs/>
        </w:rPr>
        <w:t>步骤六：反馈闭环——一个持续进化的系统</w:t>
      </w:r>
    </w:p>
    <w:p w14:paraId="16C58195" w14:textId="77777777" w:rsidR="00D054B2" w:rsidRPr="00D054B2" w:rsidRDefault="00D054B2" w:rsidP="00D054B2">
      <w:r w:rsidRPr="00D054B2">
        <w:lastRenderedPageBreak/>
        <w:t>最强大的投资体系是能够自我学习和进化的。</w:t>
      </w:r>
    </w:p>
    <w:p w14:paraId="3208E654" w14:textId="77777777" w:rsidR="00D054B2" w:rsidRPr="00D054B2" w:rsidRDefault="00D054B2" w:rsidP="00D054B2">
      <w:pPr>
        <w:numPr>
          <w:ilvl w:val="0"/>
          <w:numId w:val="12"/>
        </w:numPr>
      </w:pPr>
      <w:r w:rsidRPr="00D054B2">
        <w:rPr>
          <w:b/>
          <w:bCs/>
        </w:rPr>
        <w:t>AI研究指南：</w:t>
      </w:r>
    </w:p>
    <w:p w14:paraId="1A78FD02" w14:textId="77777777" w:rsidR="00D054B2" w:rsidRPr="00D054B2" w:rsidRDefault="00D054B2" w:rsidP="00D054B2">
      <w:r w:rsidRPr="00D054B2">
        <w:rPr>
          <w:b/>
          <w:bCs/>
        </w:rPr>
        <w:t>指令：</w:t>
      </w:r>
      <w:r w:rsidRPr="00D054B2">
        <w:t xml:space="preserve"> “为每一笔已平仓的投资，自动生成一份‘交易复盘报告’。报告需包含以下内容：</w:t>
      </w:r>
    </w:p>
    <w:p w14:paraId="2E8EFD0F" w14:textId="77777777" w:rsidR="00D054B2" w:rsidRPr="00D054B2" w:rsidRDefault="00D054B2" w:rsidP="00D054B2">
      <w:pPr>
        <w:numPr>
          <w:ilvl w:val="1"/>
          <w:numId w:val="12"/>
        </w:numPr>
      </w:pPr>
      <w:r w:rsidRPr="00D054B2">
        <w:rPr>
          <w:b/>
          <w:bCs/>
        </w:rPr>
        <w:t>初始投资逻辑：</w:t>
      </w:r>
      <w:r w:rsidRPr="00D054B2">
        <w:t xml:space="preserve"> 回顾最初对该公司‘摩尔-莱特飞轮’的判断。</w:t>
      </w:r>
    </w:p>
    <w:p w14:paraId="3E8EFF4B" w14:textId="77777777" w:rsidR="00D054B2" w:rsidRPr="00D054B2" w:rsidRDefault="00D054B2" w:rsidP="00D054B2">
      <w:pPr>
        <w:numPr>
          <w:ilvl w:val="1"/>
          <w:numId w:val="12"/>
        </w:numPr>
      </w:pPr>
      <w:r w:rsidRPr="00D054B2">
        <w:rPr>
          <w:b/>
          <w:bCs/>
        </w:rPr>
        <w:t>假设验证：</w:t>
      </w:r>
      <w:r w:rsidRPr="00D054B2">
        <w:t xml:space="preserve"> 对比投资期间的实际发展与最初的关键假设（技术进展、成本下降、业绩表现），分析哪些假设被证实，哪些被证伪。</w:t>
      </w:r>
    </w:p>
    <w:p w14:paraId="0EE4A7BB" w14:textId="77777777" w:rsidR="00D054B2" w:rsidRPr="00D054B2" w:rsidRDefault="00D054B2" w:rsidP="00D054B2">
      <w:pPr>
        <w:numPr>
          <w:ilvl w:val="1"/>
          <w:numId w:val="12"/>
        </w:numPr>
      </w:pPr>
      <w:r w:rsidRPr="00D054B2">
        <w:rPr>
          <w:b/>
          <w:bCs/>
        </w:rPr>
        <w:t>模型误差分析：</w:t>
      </w:r>
      <w:r w:rsidRPr="00D054B2">
        <w:t xml:space="preserve"> 计算估值模型的预测误差，并分析误差来源。</w:t>
      </w:r>
    </w:p>
    <w:p w14:paraId="75036F59" w14:textId="77777777" w:rsidR="00D054B2" w:rsidRPr="00D054B2" w:rsidRDefault="00D054B2" w:rsidP="00D054B2">
      <w:pPr>
        <w:numPr>
          <w:ilvl w:val="1"/>
          <w:numId w:val="12"/>
        </w:numPr>
      </w:pPr>
      <w:r w:rsidRPr="00D054B2">
        <w:rPr>
          <w:b/>
          <w:bCs/>
        </w:rPr>
        <w:t>经验提炼：</w:t>
      </w:r>
      <w:r w:rsidRPr="00D054B2">
        <w:t xml:space="preserve"> 总结出1-3条可用于未来投资决策的经验法则。 将所有复盘报告存入知识库，用于定期（如每季度）对本AI研究框架的参数、关键词和模型假设进行迭代优化。”</w:t>
      </w:r>
    </w:p>
    <w:p w14:paraId="1FD38EF0" w14:textId="77777777" w:rsidR="00D054B2" w:rsidRPr="00D054B2" w:rsidRDefault="00D054B2" w:rsidP="00D054B2">
      <w:r w:rsidRPr="00D054B2">
        <w:t>通过这六个环环相扣的步骤，投资者可以建立一个从宏观到微观、从定性到定量、从决策到反馈的完整闭环，从而系统性地提升在技术革命浪潮中的投资表现。</w:t>
      </w:r>
    </w:p>
    <w:p w14:paraId="121F4C5B" w14:textId="77777777" w:rsidR="00D054B2" w:rsidRPr="00D054B2" w:rsidRDefault="00D054B2" w:rsidP="00D054B2">
      <w:pPr>
        <w:rPr>
          <w:b/>
          <w:bCs/>
        </w:rPr>
      </w:pPr>
      <w:r w:rsidRPr="00D054B2">
        <w:rPr>
          <w:b/>
          <w:bCs/>
        </w:rPr>
        <w:t>第四部分：案例研究：特斯拉与比亚迪的双重飞轮</w:t>
      </w:r>
    </w:p>
    <w:p w14:paraId="55C0F741" w14:textId="77777777" w:rsidR="00D054B2" w:rsidRPr="00D054B2" w:rsidRDefault="00D054B2" w:rsidP="00D054B2">
      <w:r w:rsidRPr="00D054B2">
        <w:t xml:space="preserve">为了具体展示“指数引擎”框架的应用，我们深入剖析当前新能源汽车革命中的两大巨头——特斯拉和比亚迪。这两家公司都成功驱动了强大的“摩尔-莱特飞轮”，但其具体的引擎构造和战略侧重却截然不同，为我们提供了绝佳的比较案例 。   </w:t>
      </w:r>
    </w:p>
    <w:p w14:paraId="66DA5B4B" w14:textId="77777777" w:rsidR="00D054B2" w:rsidRPr="00D054B2" w:rsidRDefault="00D054B2" w:rsidP="00D054B2">
      <w:pPr>
        <w:rPr>
          <w:b/>
          <w:bCs/>
        </w:rPr>
      </w:pPr>
      <w:r w:rsidRPr="00D054B2">
        <w:rPr>
          <w:b/>
          <w:bCs/>
        </w:rPr>
        <w:t>4.1 特斯拉：创新者的飞轮</w:t>
      </w:r>
    </w:p>
    <w:p w14:paraId="61ED2E8D" w14:textId="77777777" w:rsidR="00D054B2" w:rsidRPr="00D054B2" w:rsidRDefault="00D054B2" w:rsidP="00D054B2">
      <w:r w:rsidRPr="00D054B2">
        <w:t>特斯拉的指数引擎，更多是由激进的技术和制造工艺创新所驱动。</w:t>
      </w:r>
    </w:p>
    <w:p w14:paraId="631FBD0C" w14:textId="77777777" w:rsidR="00D054B2" w:rsidRPr="00D054B2" w:rsidRDefault="00D054B2" w:rsidP="00D054B2">
      <w:pPr>
        <w:numPr>
          <w:ilvl w:val="0"/>
          <w:numId w:val="13"/>
        </w:numPr>
      </w:pPr>
      <w:r w:rsidRPr="00D054B2">
        <w:rPr>
          <w:b/>
          <w:bCs/>
        </w:rPr>
        <w:t>摩尔定律引擎（性能与智能的跃迁）：</w:t>
      </w:r>
    </w:p>
    <w:p w14:paraId="53A46FCB" w14:textId="77777777" w:rsidR="00D054B2" w:rsidRPr="00D054B2" w:rsidRDefault="00D054B2" w:rsidP="00D054B2">
      <w:pPr>
        <w:numPr>
          <w:ilvl w:val="1"/>
          <w:numId w:val="13"/>
        </w:numPr>
      </w:pPr>
      <w:r w:rsidRPr="00D054B2">
        <w:rPr>
          <w:b/>
          <w:bCs/>
        </w:rPr>
        <w:t>软件与自动驾驶：</w:t>
      </w:r>
      <w:r w:rsidRPr="00D054B2">
        <w:t xml:space="preserve"> 特斯拉的核心优势之一在于其软件定义汽车的理念。其FSD（全自动驾驶）系统通过持续的算法迭代和全球车队收集的海量真实数据进行训练，其能力（理论上）正沿着一条指数曲线向完全自动驾驶逼近 。每一次OTA（空中下载）更新，都在提升车辆的智能化水平，这是一种典型的广义摩尔定律体现。   </w:t>
      </w:r>
    </w:p>
    <w:p w14:paraId="666190F1" w14:textId="77777777" w:rsidR="00D054B2" w:rsidRPr="00D054B2" w:rsidRDefault="00D054B2" w:rsidP="00D054B2">
      <w:pPr>
        <w:numPr>
          <w:ilvl w:val="1"/>
          <w:numId w:val="13"/>
        </w:numPr>
      </w:pPr>
      <w:r w:rsidRPr="00D054B2">
        <w:rPr>
          <w:b/>
          <w:bCs/>
        </w:rPr>
        <w:t>电池技术：</w:t>
      </w:r>
      <w:r w:rsidRPr="00D054B2">
        <w:t xml:space="preserve"> 从最初的18650电池到2170，再到革命性的4680结构化电池包，特斯拉在电池的能量密度、热管理和成本上不断实现突破 。4680电池采用的干电极工艺，旨在从根本上降低生产成本和能耗，是其摩尔定律引擎的关键一环 。   </w:t>
      </w:r>
    </w:p>
    <w:p w14:paraId="4802515B" w14:textId="77777777" w:rsidR="00D054B2" w:rsidRPr="00D054B2" w:rsidRDefault="00D054B2" w:rsidP="00D054B2">
      <w:pPr>
        <w:numPr>
          <w:ilvl w:val="0"/>
          <w:numId w:val="13"/>
        </w:numPr>
      </w:pPr>
      <w:r w:rsidRPr="00D054B2">
        <w:rPr>
          <w:b/>
          <w:bCs/>
        </w:rPr>
        <w:t>莱特定律引擎（制造工艺的革命）：</w:t>
      </w:r>
    </w:p>
    <w:p w14:paraId="1BF7E7CD" w14:textId="77777777" w:rsidR="00D054B2" w:rsidRPr="00D054B2" w:rsidRDefault="00D054B2" w:rsidP="00D054B2">
      <w:pPr>
        <w:numPr>
          <w:ilvl w:val="1"/>
          <w:numId w:val="13"/>
        </w:numPr>
      </w:pPr>
      <w:r w:rsidRPr="00D054B2">
        <w:t>特斯拉对莱特定律的实践，并非简单依赖于产量的线性累积，而是通过</w:t>
      </w:r>
      <w:r w:rsidRPr="00D054B2">
        <w:rPr>
          <w:b/>
          <w:bCs/>
        </w:rPr>
        <w:t>颠覆性的制造工艺创新</w:t>
      </w:r>
      <w:r w:rsidRPr="00D054B2">
        <w:t xml:space="preserve">来主动、非线性地“压弯”成本曲线 。   </w:t>
      </w:r>
    </w:p>
    <w:p w14:paraId="108471DA" w14:textId="77777777" w:rsidR="00D054B2" w:rsidRPr="00D054B2" w:rsidRDefault="00D054B2" w:rsidP="00D054B2">
      <w:pPr>
        <w:numPr>
          <w:ilvl w:val="1"/>
          <w:numId w:val="13"/>
        </w:numPr>
      </w:pPr>
      <w:r w:rsidRPr="00D054B2">
        <w:rPr>
          <w:b/>
          <w:bCs/>
        </w:rPr>
        <w:t>一体化压铸（Gigacasting）：</w:t>
      </w:r>
      <w:r w:rsidRPr="00D054B2">
        <w:t xml:space="preserve"> 特斯拉率先采用大型压铸机，将原本由几十个甚至上百个零件焊接而成的车身后底板，一次性压铸成型。这极大地简化了生产流程，减少了机器人使用数量、工厂占地面积和制造成本 。   </w:t>
      </w:r>
    </w:p>
    <w:p w14:paraId="44106B85" w14:textId="77777777" w:rsidR="00D054B2" w:rsidRPr="00D054B2" w:rsidRDefault="00D054B2" w:rsidP="00D054B2">
      <w:pPr>
        <w:numPr>
          <w:ilvl w:val="1"/>
          <w:numId w:val="13"/>
        </w:numPr>
      </w:pPr>
      <w:r w:rsidRPr="00D054B2">
        <w:rPr>
          <w:b/>
          <w:bCs/>
        </w:rPr>
        <w:t>结构化电池包与Unboxed Assembly：</w:t>
      </w:r>
      <w:r w:rsidRPr="00D054B2">
        <w:t xml:space="preserve"> 将电池电芯直接作为车身结构的一部分，进一步减轻了重量、简化了结构。而最新的“Unboxed”组装流程，则将传统的串行生产线分解为并行的模块化组装，旨在将工厂效率再提升一个量级 。   </w:t>
      </w:r>
    </w:p>
    <w:p w14:paraId="44F9B76A" w14:textId="77777777" w:rsidR="00D054B2" w:rsidRPr="00D054B2" w:rsidRDefault="00D054B2" w:rsidP="00D054B2">
      <w:pPr>
        <w:numPr>
          <w:ilvl w:val="0"/>
          <w:numId w:val="13"/>
        </w:numPr>
      </w:pPr>
      <w:r w:rsidRPr="00D054B2">
        <w:rPr>
          <w:b/>
          <w:bCs/>
        </w:rPr>
        <w:t>飞轮协同：</w:t>
      </w:r>
      <w:r w:rsidRPr="00D054B2">
        <w:t xml:space="preserve"> 特斯拉的两个引擎协同紧密。FSD软件的改进依赖于其大规模量产的车辆所收集的数据；而制造工艺的降本，则使得更多消费者能够负担得起特斯拉，从而扩大了数据收集的基础。这种软硬件一体、研发与制造深度绑定的模式，使其飞轮转动得异常高效。其商业模式也因此被比作汽车界的“苹果”，通过卓越的产品体验和强大的品牌护城河，主导高端市场并享有高利润率 。   </w:t>
      </w:r>
    </w:p>
    <w:p w14:paraId="3AFE3F24" w14:textId="77777777" w:rsidR="00D054B2" w:rsidRPr="00D054B2" w:rsidRDefault="00D054B2" w:rsidP="00D054B2">
      <w:pPr>
        <w:rPr>
          <w:b/>
          <w:bCs/>
        </w:rPr>
      </w:pPr>
      <w:r w:rsidRPr="00D054B2">
        <w:rPr>
          <w:b/>
          <w:bCs/>
        </w:rPr>
        <w:t>4.2 比亚迪：产业家的飞轮</w:t>
      </w:r>
    </w:p>
    <w:p w14:paraId="46C9158E" w14:textId="77777777" w:rsidR="00D054B2" w:rsidRPr="00D054B2" w:rsidRDefault="00D054B2" w:rsidP="00D054B2">
      <w:r w:rsidRPr="00D054B2">
        <w:lastRenderedPageBreak/>
        <w:t>与特斯拉不同，比亚迪的指数引擎，更多是建立在对全产业链的极致掌控和庞大市场规模的驱动之上。</w:t>
      </w:r>
    </w:p>
    <w:p w14:paraId="2B4CBB62" w14:textId="77777777" w:rsidR="00D054B2" w:rsidRPr="00D054B2" w:rsidRDefault="00D054B2" w:rsidP="00D054B2">
      <w:pPr>
        <w:numPr>
          <w:ilvl w:val="0"/>
          <w:numId w:val="14"/>
        </w:numPr>
      </w:pPr>
      <w:r w:rsidRPr="00D054B2">
        <w:rPr>
          <w:b/>
          <w:bCs/>
        </w:rPr>
        <w:t>摩尔定律引擎（实用技术的深耕）：</w:t>
      </w:r>
    </w:p>
    <w:p w14:paraId="39BD6D6D" w14:textId="77777777" w:rsidR="00D054B2" w:rsidRPr="00D054B2" w:rsidRDefault="00D054B2" w:rsidP="00D054B2">
      <w:pPr>
        <w:numPr>
          <w:ilvl w:val="1"/>
          <w:numId w:val="14"/>
        </w:numPr>
      </w:pPr>
      <w:r w:rsidRPr="00D054B2">
        <w:rPr>
          <w:b/>
          <w:bCs/>
        </w:rPr>
        <w:t>电池技术：</w:t>
      </w:r>
      <w:r w:rsidRPr="00D054B2">
        <w:t xml:space="preserve"> 比亚迪的“摩尔定律”体现在其对电池技术的实用主义创新上。其研发的“刀片电池”（Blade Battery）通过结构创新，在保证磷酸铁锂（LFP）电池低成本和高安全性的前提下，大幅提升了体积能量密度，解决了LFP电池续航短的痛点 。这并非追求最前沿的化学体系，而是将成熟技术做到极致性价比，完美契合其大众市场的定位。   </w:t>
      </w:r>
    </w:p>
    <w:p w14:paraId="331BCBBC" w14:textId="77777777" w:rsidR="00D054B2" w:rsidRPr="00D054B2" w:rsidRDefault="00D054B2" w:rsidP="00D054B2">
      <w:pPr>
        <w:numPr>
          <w:ilvl w:val="0"/>
          <w:numId w:val="14"/>
        </w:numPr>
      </w:pPr>
      <w:r w:rsidRPr="00D054B2">
        <w:rPr>
          <w:b/>
          <w:bCs/>
        </w:rPr>
        <w:t>莱特定律引擎（极致的垂直整合与规模效应）：</w:t>
      </w:r>
    </w:p>
    <w:p w14:paraId="4C63BCAB" w14:textId="77777777" w:rsidR="00D054B2" w:rsidRPr="00D054B2" w:rsidRDefault="00D054B2" w:rsidP="00D054B2">
      <w:pPr>
        <w:numPr>
          <w:ilvl w:val="1"/>
          <w:numId w:val="14"/>
        </w:numPr>
      </w:pPr>
      <w:r w:rsidRPr="00D054B2">
        <w:t>比亚迪是莱特定律的忠实践行者，其核心战略是</w:t>
      </w:r>
      <w:r w:rsidRPr="00D054B2">
        <w:rPr>
          <w:b/>
          <w:bCs/>
        </w:rPr>
        <w:t>通过无与伦比的垂直整合和巨大的生产规模来驱动成本的持续下降</w:t>
      </w:r>
      <w:r w:rsidRPr="00D054B2">
        <w:t>。</w:t>
      </w:r>
    </w:p>
    <w:p w14:paraId="2949D001" w14:textId="77777777" w:rsidR="00D054B2" w:rsidRPr="00D054B2" w:rsidRDefault="00D054B2" w:rsidP="00D054B2">
      <w:pPr>
        <w:numPr>
          <w:ilvl w:val="1"/>
          <w:numId w:val="14"/>
        </w:numPr>
      </w:pPr>
      <w:r w:rsidRPr="00D054B2">
        <w:rPr>
          <w:b/>
          <w:bCs/>
        </w:rPr>
        <w:t>全产业链自给：</w:t>
      </w:r>
      <w:r w:rsidRPr="00D054B2">
        <w:t xml:space="preserve"> 比亚迪自主生产包括电池、电机、电控、甚至车规级半导体在内的约75%的核心零部件 。这种模式使其在面对供应链波动（如芯片短缺）时具备极强的韧性，并能最大限度地压缩中间环节成本。   </w:t>
      </w:r>
    </w:p>
    <w:p w14:paraId="0FBD6EB6" w14:textId="77777777" w:rsidR="00D054B2" w:rsidRPr="00D054B2" w:rsidRDefault="00D054B2" w:rsidP="00D054B2">
      <w:pPr>
        <w:numPr>
          <w:ilvl w:val="1"/>
          <w:numId w:val="14"/>
        </w:numPr>
      </w:pPr>
      <w:r w:rsidRPr="00D054B2">
        <w:rPr>
          <w:b/>
          <w:bCs/>
        </w:rPr>
        <w:t>规模压倒一切：</w:t>
      </w:r>
      <w:r w:rsidRPr="00D054B2">
        <w:t xml:space="preserve"> 凭借其在中国市场的巨大成功，比亚迪的年产量已达数百万辆级别 。如此庞大的累计产量，使其在经验曲线上迅速下滑，单位成本优势愈发明显。在2023-2024年的激烈价格战中，比亚迪是少数能够一边降价、一边保持可观利润的车企，其强大的成本控制能力可见一斑 。   </w:t>
      </w:r>
    </w:p>
    <w:p w14:paraId="714D065E" w14:textId="77777777" w:rsidR="00D054B2" w:rsidRPr="00D054B2" w:rsidRDefault="00D054B2" w:rsidP="00D054B2">
      <w:pPr>
        <w:numPr>
          <w:ilvl w:val="0"/>
          <w:numId w:val="14"/>
        </w:numPr>
      </w:pPr>
      <w:r w:rsidRPr="00D054B2">
        <w:rPr>
          <w:b/>
          <w:bCs/>
        </w:rPr>
        <w:t>飞轮协同：</w:t>
      </w:r>
      <w:r w:rsidRPr="00D054B2">
        <w:t xml:space="preserve"> 比亚迪的飞轮，是“市场需求-规模生产-成本下降”的经典循环。其“纯电+插混”的双线战略精准地抓住了中国市场的多元化需求，推动了销量的初步爆发 。销量的增长使其垂直整合的规模效应得以充分发挥，成本优势进一步巩固。更低的成本又使其能推出更具竞争力的产品，进一步抢占市场份额。其商业模式也因此被比作汽车界的“安卓生态”，通过提供覆盖各价位段的丰富产品矩阵，以高性价比策略赢得了最广泛的用户基础 。   </w:t>
      </w:r>
    </w:p>
    <w:p w14:paraId="32FA4494" w14:textId="77777777" w:rsidR="00D054B2" w:rsidRPr="00D054B2" w:rsidRDefault="00D054B2" w:rsidP="00D054B2">
      <w:pPr>
        <w:rPr>
          <w:b/>
          <w:bCs/>
        </w:rPr>
      </w:pPr>
      <w:r w:rsidRPr="00D054B2">
        <w:rPr>
          <w:b/>
          <w:bCs/>
        </w:rPr>
        <w:t>4.3 结论：殊途同归的指数增长</w:t>
      </w:r>
    </w:p>
    <w:p w14:paraId="4625A221" w14:textId="77777777" w:rsidR="00D054B2" w:rsidRPr="00D054B2" w:rsidRDefault="00D054B2" w:rsidP="00D054B2">
      <w:r w:rsidRPr="00D054B2">
        <w:t>特斯拉和比亚迪的案例生动地说明，“摩尔-莱特飞轮”是驱动技术革命中企业成功的核心引擎，但实现路径可以多种多样。特斯拉代表了“技术创新驱动型”飞轮，通过颠覆性的产品和工艺创造价值；比亚迪则代表了“产业整合驱动型”飞轮，通过极致的规模和效率创造价值。</w:t>
      </w:r>
    </w:p>
    <w:p w14:paraId="2CC9A6F4" w14:textId="77777777" w:rsidR="00D054B2" w:rsidRPr="00D054B2" w:rsidRDefault="00D054B2" w:rsidP="00D054B2">
      <w:r w:rsidRPr="00D054B2">
        <w:t>对于投资者而言，关键不在于判定哪种模式更优越，而在于运用我们的框架，识别出特定公司正在驱动何种类型的飞轮，评估其强度和可持续性，并在市场对其价值产生认知偏差时，做出正确的投资决策。</w:t>
      </w:r>
    </w:p>
    <w:p w14:paraId="4F16A5BF" w14:textId="77777777" w:rsidR="00D054B2" w:rsidRPr="00D054B2" w:rsidRDefault="00D054B2" w:rsidP="00D054B2">
      <w:pPr>
        <w:rPr>
          <w:b/>
          <w:bCs/>
        </w:rPr>
      </w:pPr>
      <w:r w:rsidRPr="00D054B2">
        <w:rPr>
          <w:b/>
          <w:bCs/>
        </w:rPr>
        <w:t>第五部分：深度估值实践：从数据到多情景分析</w:t>
      </w:r>
    </w:p>
    <w:p w14:paraId="32E178B0" w14:textId="77777777" w:rsidR="00D054B2" w:rsidRPr="00D054B2" w:rsidRDefault="00D054B2" w:rsidP="00D054B2">
      <w:r w:rsidRPr="00D054B2">
        <w:t>前述部分构建了投资的宏观框架与分析流程，本部分将聚焦于投资决策中最核心的环节——公司估值。我们将把理论转化为实践，详细阐述如何对一家“指数引擎”公司进行系统性的估值分析。这包括三个关键步骤：财务数据的搜集与梳理、基于飞轮理论的业绩展望与假设构建，以及最终的多情景估值建模。</w:t>
      </w:r>
    </w:p>
    <w:p w14:paraId="0EDFCBC9" w14:textId="77777777" w:rsidR="00D054B2" w:rsidRPr="00D054B2" w:rsidRDefault="00D054B2" w:rsidP="00D054B2">
      <w:pPr>
        <w:rPr>
          <w:b/>
          <w:bCs/>
        </w:rPr>
      </w:pPr>
      <w:r w:rsidRPr="00D054B2">
        <w:rPr>
          <w:b/>
          <w:bCs/>
        </w:rPr>
        <w:t>5.1 财务数据搜集与梳理</w:t>
      </w:r>
    </w:p>
    <w:p w14:paraId="3A999B50" w14:textId="77777777" w:rsidR="00D054B2" w:rsidRPr="00D054B2" w:rsidRDefault="00D054B2" w:rsidP="00D054B2">
      <w:r w:rsidRPr="00D054B2">
        <w:t>严谨的估值始于对公司财务状况的全面掌握。投资者需要搜集并梳理公司的历史财务数据，以理解其经营表现、盈利能力和财务健康度。</w:t>
      </w:r>
    </w:p>
    <w:p w14:paraId="31E815DE" w14:textId="77777777" w:rsidR="00D054B2" w:rsidRPr="00D054B2" w:rsidRDefault="00D054B2" w:rsidP="00D054B2">
      <w:pPr>
        <w:numPr>
          <w:ilvl w:val="0"/>
          <w:numId w:val="15"/>
        </w:numPr>
      </w:pPr>
      <w:r w:rsidRPr="00D054B2">
        <w:rPr>
          <w:b/>
          <w:bCs/>
        </w:rPr>
        <w:t>数据来源：</w:t>
      </w:r>
    </w:p>
    <w:p w14:paraId="2F9BBC44" w14:textId="77777777" w:rsidR="00D054B2" w:rsidRPr="00D054B2" w:rsidRDefault="00D054B2" w:rsidP="00D054B2">
      <w:pPr>
        <w:numPr>
          <w:ilvl w:val="1"/>
          <w:numId w:val="15"/>
        </w:numPr>
      </w:pPr>
      <w:r w:rsidRPr="00D054B2">
        <w:rPr>
          <w:b/>
          <w:bCs/>
        </w:rPr>
        <w:t>官方披露：</w:t>
      </w:r>
      <w:r w:rsidRPr="00D054B2">
        <w:t xml:space="preserve"> 上市公司的季度及年度财务报告（如10-Q、10-K文件）、投资者关系网站发布的财报电话会议纪要和演示文稿是信息最权威、最详细的来源 。   </w:t>
      </w:r>
    </w:p>
    <w:p w14:paraId="049255A6" w14:textId="77777777" w:rsidR="00D054B2" w:rsidRPr="00D054B2" w:rsidRDefault="00D054B2" w:rsidP="00D054B2">
      <w:pPr>
        <w:numPr>
          <w:ilvl w:val="1"/>
          <w:numId w:val="15"/>
        </w:numPr>
      </w:pPr>
      <w:r w:rsidRPr="00D054B2">
        <w:rPr>
          <w:b/>
          <w:bCs/>
        </w:rPr>
        <w:t>金融数据终端：</w:t>
      </w:r>
      <w:r w:rsidRPr="00D054B2">
        <w:t xml:space="preserve"> Bloomberg、Refinitiv、FactSet等专业终端，以及Wind、</w:t>
      </w:r>
      <w:r w:rsidRPr="00D054B2">
        <w:lastRenderedPageBreak/>
        <w:t xml:space="preserve">东方财富等，提供了经过标准化处理的财务数据、分析师预测汇总和市场数据，极大提升了研究效率 。   </w:t>
      </w:r>
    </w:p>
    <w:p w14:paraId="7CEC65B7" w14:textId="77777777" w:rsidR="00D054B2" w:rsidRPr="00D054B2" w:rsidRDefault="00D054B2" w:rsidP="00D054B2">
      <w:pPr>
        <w:numPr>
          <w:ilvl w:val="1"/>
          <w:numId w:val="15"/>
        </w:numPr>
      </w:pPr>
      <w:r w:rsidRPr="00D054B2">
        <w:rPr>
          <w:b/>
          <w:bCs/>
        </w:rPr>
        <w:t>第三方研究平台：</w:t>
      </w:r>
      <w:r w:rsidRPr="00D054B2">
        <w:t xml:space="preserve"> PitchBook、CB Insights等平台提供详尽的风险投资、并购及非上市公司数据，对于分析新兴技术和竞争格局至关重要 。   </w:t>
      </w:r>
    </w:p>
    <w:p w14:paraId="14072853" w14:textId="77777777" w:rsidR="00D054B2" w:rsidRPr="00D054B2" w:rsidRDefault="00D054B2" w:rsidP="00D054B2">
      <w:pPr>
        <w:numPr>
          <w:ilvl w:val="0"/>
          <w:numId w:val="15"/>
        </w:numPr>
      </w:pPr>
      <w:r w:rsidRPr="00D054B2">
        <w:rPr>
          <w:b/>
          <w:bCs/>
        </w:rPr>
        <w:t>关键财务数据梳理：</w:t>
      </w:r>
    </w:p>
    <w:p w14:paraId="71A2C1F4" w14:textId="77777777" w:rsidR="00D054B2" w:rsidRPr="00D054B2" w:rsidRDefault="00D054B2" w:rsidP="00D054B2">
      <w:pPr>
        <w:numPr>
          <w:ilvl w:val="1"/>
          <w:numId w:val="15"/>
        </w:numPr>
      </w:pPr>
      <w:r w:rsidRPr="00D054B2">
        <w:rPr>
          <w:b/>
          <w:bCs/>
        </w:rPr>
        <w:t>利润表（Income Statement）：</w:t>
      </w:r>
      <w:r w:rsidRPr="00D054B2">
        <w:t xml:space="preserve"> 关注**营业收入（Revenue）**及其增长率、</w:t>
      </w:r>
      <w:r w:rsidRPr="00D054B2">
        <w:rPr>
          <w:b/>
          <w:bCs/>
        </w:rPr>
        <w:t>毛利率（Gross Margin）</w:t>
      </w:r>
      <w:r w:rsidRPr="00D054B2">
        <w:t>、</w:t>
      </w:r>
      <w:r w:rsidRPr="00D054B2">
        <w:rPr>
          <w:b/>
          <w:bCs/>
        </w:rPr>
        <w:t>营业利润率（Operating Margin）和净利润（Net Income）</w:t>
      </w:r>
      <w:r w:rsidRPr="00D054B2">
        <w:t xml:space="preserve">。通过分析这些指标，可以判断公司的成长速度、成本控制能力和盈利质量。例如，微软2025财年第三季度营收增长13%，智能云业务增长21%，显示出AI驱动的强劲势头 。而特斯拉同期营收下降9%，汽车业务毛利率承压，反映了市场竞争加剧的影响 。   </w:t>
      </w:r>
    </w:p>
    <w:p w14:paraId="0BF7AAA0" w14:textId="77777777" w:rsidR="00D054B2" w:rsidRPr="00D054B2" w:rsidRDefault="00D054B2" w:rsidP="00D054B2">
      <w:pPr>
        <w:numPr>
          <w:ilvl w:val="1"/>
          <w:numId w:val="15"/>
        </w:numPr>
      </w:pPr>
      <w:r w:rsidRPr="00D054B2">
        <w:rPr>
          <w:b/>
          <w:bCs/>
        </w:rPr>
        <w:t>资产负债表（Balance Sheet）：</w:t>
      </w:r>
      <w:r w:rsidRPr="00D054B2">
        <w:t xml:space="preserve"> 重点关注</w:t>
      </w:r>
      <w:r w:rsidRPr="00D054B2">
        <w:rPr>
          <w:b/>
          <w:bCs/>
        </w:rPr>
        <w:t>现金及等价物（Cash and Equivalents）</w:t>
      </w:r>
      <w:r w:rsidRPr="00D054B2">
        <w:t>、</w:t>
      </w:r>
      <w:r w:rsidRPr="00D054B2">
        <w:rPr>
          <w:b/>
          <w:bCs/>
        </w:rPr>
        <w:t>总债务（Total Debt）和股东权益（Shareholders' Equity）</w:t>
      </w:r>
      <w:r w:rsidRPr="00D054B2">
        <w:t xml:space="preserve">。这有助于评估公司的财务健康状况和抗风险能力。例如，拼多多截至2025年3月31日拥有高达3645亿人民币的现金、等价物和短期投资，财务状况极为稳健 。   </w:t>
      </w:r>
    </w:p>
    <w:p w14:paraId="37596EB4" w14:textId="77777777" w:rsidR="00D054B2" w:rsidRPr="00D054B2" w:rsidRDefault="00D054B2" w:rsidP="00D054B2">
      <w:pPr>
        <w:numPr>
          <w:ilvl w:val="1"/>
          <w:numId w:val="15"/>
        </w:numPr>
      </w:pPr>
      <w:r w:rsidRPr="00D054B2">
        <w:rPr>
          <w:b/>
          <w:bCs/>
        </w:rPr>
        <w:t>现金流量表（Cash Flow Statement）：</w:t>
      </w:r>
      <w:r w:rsidRPr="00D054B2">
        <w:t xml:space="preserve"> </w:t>
      </w:r>
      <w:r w:rsidRPr="00D054B2">
        <w:rPr>
          <w:b/>
          <w:bCs/>
        </w:rPr>
        <w:t>经营活动现金流（Operating Cash Flow）是衡量公司“造血”能力的核心指标。一个健康成长的公司，其经营现金流应持续为正且不断增长。同时关注资本支出（Capital Expenditure, CapEx）</w:t>
      </w:r>
      <w:r w:rsidRPr="00D054B2">
        <w:t>，这反映了公司对未来增长的投入力度。</w:t>
      </w:r>
    </w:p>
    <w:p w14:paraId="7CF8BA2A" w14:textId="77777777" w:rsidR="00D054B2" w:rsidRPr="00D054B2" w:rsidRDefault="00D054B2" w:rsidP="00D054B2">
      <w:pPr>
        <w:rPr>
          <w:b/>
          <w:bCs/>
        </w:rPr>
      </w:pPr>
      <w:r w:rsidRPr="00D054B2">
        <w:rPr>
          <w:b/>
          <w:bCs/>
        </w:rPr>
        <w:t>5.2 业绩展望与关键假设构建</w:t>
      </w:r>
    </w:p>
    <w:p w14:paraId="6D0AE819" w14:textId="77777777" w:rsidR="00D054B2" w:rsidRPr="00D054B2" w:rsidRDefault="00D054B2" w:rsidP="00D054B2">
      <w:r w:rsidRPr="00D054B2">
        <w:t>在梳理完历史数据后，估值的核心是“面向未来”。我们需要基于对公司“摩尔-莱特飞轮”的理解，构建对未来业绩的关键假设。</w:t>
      </w:r>
    </w:p>
    <w:p w14:paraId="5676F740" w14:textId="77777777" w:rsidR="00D054B2" w:rsidRPr="00D054B2" w:rsidRDefault="00D054B2" w:rsidP="00D054B2">
      <w:pPr>
        <w:numPr>
          <w:ilvl w:val="0"/>
          <w:numId w:val="16"/>
        </w:numPr>
      </w:pPr>
      <w:r w:rsidRPr="00D054B2">
        <w:rPr>
          <w:b/>
          <w:bCs/>
        </w:rPr>
        <w:t>收入增长预测：</w:t>
      </w:r>
      <w:r w:rsidRPr="00D054B2">
        <w:t xml:space="preserve"> 这是估值的起点。放弃线性外推，转而思考驱动增长的根本要素。</w:t>
      </w:r>
    </w:p>
    <w:p w14:paraId="2CF828F2" w14:textId="77777777" w:rsidR="00D054B2" w:rsidRPr="00D054B2" w:rsidRDefault="00D054B2" w:rsidP="00D054B2">
      <w:pPr>
        <w:numPr>
          <w:ilvl w:val="1"/>
          <w:numId w:val="16"/>
        </w:numPr>
      </w:pPr>
      <w:r w:rsidRPr="00D054B2">
        <w:rPr>
          <w:b/>
          <w:bCs/>
        </w:rPr>
        <w:t>英伟达（NVIDIA）：</w:t>
      </w:r>
      <w:r w:rsidRPr="00D054B2">
        <w:t xml:space="preserve"> 其增长直接与AI算力需求挂钩。关键假设是未来几年全球数据中心的AI投入增速。分析师普遍预测，在AI大模型和“AI工厂”的推动下，其数据中心业务将维持高速增长 。Loop Capital甚至预测，到2028年，仅大型云服务商的AI相关支出就可能达到2万亿美元 。   </w:t>
      </w:r>
    </w:p>
    <w:p w14:paraId="47478575" w14:textId="77777777" w:rsidR="00D054B2" w:rsidRPr="00D054B2" w:rsidRDefault="00D054B2" w:rsidP="00D054B2">
      <w:pPr>
        <w:numPr>
          <w:ilvl w:val="1"/>
          <w:numId w:val="16"/>
        </w:numPr>
      </w:pPr>
      <w:r w:rsidRPr="00D054B2">
        <w:rPr>
          <w:b/>
          <w:bCs/>
        </w:rPr>
        <w:t>比亚迪（BYD）：</w:t>
      </w:r>
      <w:r w:rsidRPr="00D054B2">
        <w:t xml:space="preserve"> 增长驱动力来自国内市场份额的巩固和海外市场的扩张。关键假设是其海外销量能否成功复制国内的辉煌。公司目标是2025年海外销量翻倍至80万辆 。其在欧洲、拉美等地的工厂建设进度和市场接受度是核心变量 。   </w:t>
      </w:r>
    </w:p>
    <w:p w14:paraId="1DD7C687" w14:textId="77777777" w:rsidR="00D054B2" w:rsidRPr="00D054B2" w:rsidRDefault="00D054B2" w:rsidP="00D054B2">
      <w:pPr>
        <w:numPr>
          <w:ilvl w:val="1"/>
          <w:numId w:val="16"/>
        </w:numPr>
      </w:pPr>
      <w:r w:rsidRPr="00D054B2">
        <w:rPr>
          <w:b/>
          <w:bCs/>
        </w:rPr>
        <w:t>特斯拉（Tesla）：</w:t>
      </w:r>
      <w:r w:rsidRPr="00D054B2">
        <w:t xml:space="preserve"> 增长驱动力是“汽车销量 + FSD软件商业化 + 机器人业务”。汽车销量增长取决于新车型（如改款Model Y、低价车型）的推出和产能扩张 。FSD的商业化则是一个巨大的期权，其成功与否将极大地影响公司长期价值，但目前其技术进展仍存在不确定性 。   </w:t>
      </w:r>
    </w:p>
    <w:p w14:paraId="79E7E788" w14:textId="77777777" w:rsidR="00D054B2" w:rsidRPr="00D054B2" w:rsidRDefault="00D054B2" w:rsidP="00D054B2">
      <w:pPr>
        <w:numPr>
          <w:ilvl w:val="0"/>
          <w:numId w:val="16"/>
        </w:numPr>
      </w:pPr>
      <w:r w:rsidRPr="00D054B2">
        <w:rPr>
          <w:b/>
          <w:bCs/>
        </w:rPr>
        <w:t>利润率预测：</w:t>
      </w:r>
    </w:p>
    <w:p w14:paraId="50AA38FA" w14:textId="77777777" w:rsidR="00D054B2" w:rsidRPr="00D054B2" w:rsidRDefault="00D054B2" w:rsidP="00D054B2">
      <w:pPr>
        <w:numPr>
          <w:ilvl w:val="1"/>
          <w:numId w:val="16"/>
        </w:numPr>
      </w:pPr>
      <w:r w:rsidRPr="00D054B2">
        <w:rPr>
          <w:b/>
          <w:bCs/>
        </w:rPr>
        <w:t>毛利率：</w:t>
      </w:r>
      <w:r w:rsidRPr="00D054B2">
        <w:t xml:space="preserve"> 受益于莱特定律，指数引擎公司的毛利率通常有提升潜力。例如，比亚迪凭借垂直整合和规模效应，即使在价格战中也能维持相对稳定的毛利率 。特斯拉4680电池的量产和制造成本的降低，是其未来毛利率改善的关键 。   </w:t>
      </w:r>
    </w:p>
    <w:p w14:paraId="2D58B04E" w14:textId="77777777" w:rsidR="00D054B2" w:rsidRPr="00D054B2" w:rsidRDefault="00D054B2" w:rsidP="00D054B2">
      <w:pPr>
        <w:numPr>
          <w:ilvl w:val="1"/>
          <w:numId w:val="16"/>
        </w:numPr>
      </w:pPr>
      <w:r w:rsidRPr="00D054B2">
        <w:rPr>
          <w:b/>
          <w:bCs/>
        </w:rPr>
        <w:t>营业利润率：</w:t>
      </w:r>
      <w:r w:rsidRPr="00D054B2">
        <w:t xml:space="preserve"> 随着收入规模扩大，研发和销售费用占收入的比例有望下降，从而提升营业利润率。但对于拼多多这样的公司，其在海外市场（Temu）的大规模营销投入，可能会在短期内压低利润率 。   </w:t>
      </w:r>
    </w:p>
    <w:p w14:paraId="3E705FE0" w14:textId="77777777" w:rsidR="00D054B2" w:rsidRPr="00D054B2" w:rsidRDefault="00D054B2" w:rsidP="00D054B2">
      <w:pPr>
        <w:numPr>
          <w:ilvl w:val="0"/>
          <w:numId w:val="16"/>
        </w:numPr>
      </w:pPr>
      <w:r w:rsidRPr="00D054B2">
        <w:rPr>
          <w:b/>
          <w:bCs/>
        </w:rPr>
        <w:lastRenderedPageBreak/>
        <w:t>资本支出预测：</w:t>
      </w:r>
    </w:p>
    <w:p w14:paraId="781AEF69" w14:textId="77777777" w:rsidR="00D054B2" w:rsidRPr="00D054B2" w:rsidRDefault="00D054B2" w:rsidP="00D054B2">
      <w:pPr>
        <w:numPr>
          <w:ilvl w:val="1"/>
          <w:numId w:val="16"/>
        </w:numPr>
      </w:pPr>
      <w:r w:rsidRPr="00D054B2">
        <w:t xml:space="preserve">高增长通常伴随着高投入。英伟达需要持续投入研发以保持技术领先；特斯拉和比亚迪需要投入巨资建设新工厂以扩大产能；微软为支持AI和云业务，其资本支出预计将大幅增加 。这些资本支出会影响短期自由现金流，但却是驱动长期增长的必要投资。   </w:t>
      </w:r>
    </w:p>
    <w:p w14:paraId="3C5F8395" w14:textId="77777777" w:rsidR="00D054B2" w:rsidRPr="00D054B2" w:rsidRDefault="00D054B2" w:rsidP="00D054B2">
      <w:pPr>
        <w:rPr>
          <w:b/>
          <w:bCs/>
        </w:rPr>
      </w:pPr>
      <w:r w:rsidRPr="00D054B2">
        <w:rPr>
          <w:b/>
          <w:bCs/>
        </w:rPr>
        <w:t>5.3 多情景估值建模与分析</w:t>
      </w:r>
    </w:p>
    <w:p w14:paraId="3747CF75" w14:textId="77777777" w:rsidR="00D054B2" w:rsidRPr="00D054B2" w:rsidRDefault="00D054B2" w:rsidP="00D054B2">
      <w:r w:rsidRPr="00D054B2">
        <w:t>考虑到未来的高度不确定性，单一的“点预测”是危险的。我们必须采用多情景分析，来评估不同可能性下的公司价值，从而更全面地理解投资的风险与回报。</w:t>
      </w:r>
    </w:p>
    <w:p w14:paraId="58EE9DA9" w14:textId="77777777" w:rsidR="00D054B2" w:rsidRPr="00D054B2" w:rsidRDefault="00D054B2" w:rsidP="00D054B2">
      <w:pPr>
        <w:numPr>
          <w:ilvl w:val="0"/>
          <w:numId w:val="17"/>
        </w:numPr>
      </w:pPr>
      <w:r w:rsidRPr="00D054B2">
        <w:rPr>
          <w:b/>
          <w:bCs/>
        </w:rPr>
        <w:t>建模方法：</w:t>
      </w:r>
      <w:r w:rsidRPr="00D054B2">
        <w:t xml:space="preserve"> 贴现现金流（DCF）模型是进行内在价值评估的黄金标准。其核心思想是将公司未来产生的自由现金流，按一定的贴现率折算回现值。</w:t>
      </w:r>
    </w:p>
    <w:p w14:paraId="55233449" w14:textId="77777777" w:rsidR="00D054B2" w:rsidRPr="00D054B2" w:rsidRDefault="00D054B2" w:rsidP="00D054B2">
      <w:pPr>
        <w:numPr>
          <w:ilvl w:val="1"/>
          <w:numId w:val="17"/>
        </w:numPr>
      </w:pPr>
      <w:r w:rsidRPr="00D054B2">
        <w:rPr>
          <w:b/>
          <w:bCs/>
        </w:rPr>
        <w:t>自由现金流预测：</w:t>
      </w:r>
      <w:r w:rsidRPr="00D054B2">
        <w:t xml:space="preserve"> 基于前述对收入、利润率和资本支出的假设，预测未来5-10年的自由现金流。</w:t>
      </w:r>
    </w:p>
    <w:p w14:paraId="4299B0D5" w14:textId="77777777" w:rsidR="00D054B2" w:rsidRPr="00D054B2" w:rsidRDefault="00D054B2" w:rsidP="00D054B2">
      <w:pPr>
        <w:numPr>
          <w:ilvl w:val="1"/>
          <w:numId w:val="17"/>
        </w:numPr>
      </w:pPr>
      <w:r w:rsidRPr="00D054B2">
        <w:rPr>
          <w:b/>
          <w:bCs/>
        </w:rPr>
        <w:t>永续增长率与终值：</w:t>
      </w:r>
      <w:r w:rsidRPr="00D054B2">
        <w:t xml:space="preserve"> 预测期结束后，假设公司以一个较低的、稳定的永续增长率（通常与宏观经济增速相当）增长，并计算其终值。</w:t>
      </w:r>
    </w:p>
    <w:p w14:paraId="1D21ACD4" w14:textId="77777777" w:rsidR="00D054B2" w:rsidRPr="00D054B2" w:rsidRDefault="00D054B2" w:rsidP="00D054B2">
      <w:pPr>
        <w:numPr>
          <w:ilvl w:val="1"/>
          <w:numId w:val="17"/>
        </w:numPr>
      </w:pPr>
      <w:r w:rsidRPr="00D054B2">
        <w:rPr>
          <w:b/>
          <w:bCs/>
        </w:rPr>
        <w:t>贴现率（WACC）：</w:t>
      </w:r>
      <w:r w:rsidRPr="00D054B2">
        <w:t xml:space="preserve"> 加权平均资本成本（WACC）反映了投资于该公司的机会成本和风险。风险越高的公司，贴现率应越高。</w:t>
      </w:r>
    </w:p>
    <w:p w14:paraId="2FF00580" w14:textId="77777777" w:rsidR="00D054B2" w:rsidRPr="00D054B2" w:rsidRDefault="00D054B2" w:rsidP="00D054B2">
      <w:pPr>
        <w:numPr>
          <w:ilvl w:val="0"/>
          <w:numId w:val="17"/>
        </w:numPr>
      </w:pPr>
      <w:r w:rsidRPr="00D054B2">
        <w:rPr>
          <w:b/>
          <w:bCs/>
        </w:rPr>
        <w:t>构建三种情景：</w:t>
      </w:r>
    </w:p>
    <w:p w14:paraId="260FDA17" w14:textId="77777777" w:rsidR="00D054B2" w:rsidRPr="00D054B2" w:rsidRDefault="00D054B2" w:rsidP="00D054B2">
      <w:pPr>
        <w:numPr>
          <w:ilvl w:val="1"/>
          <w:numId w:val="17"/>
        </w:numPr>
      </w:pPr>
      <w:r w:rsidRPr="00D054B2">
        <w:rPr>
          <w:b/>
          <w:bCs/>
        </w:rPr>
        <w:t>基础情景（Base Case）：</w:t>
      </w:r>
      <w:r w:rsidRPr="00D054B2">
        <w:t xml:space="preserve"> 通常采用市场分析师的一致预期或我们自己最可能的中性判断。例如，假设AI市场平稳增长，竞争格局保持稳定。</w:t>
      </w:r>
    </w:p>
    <w:p w14:paraId="492E6EFC" w14:textId="77777777" w:rsidR="00D054B2" w:rsidRPr="00D054B2" w:rsidRDefault="00D054B2" w:rsidP="00D054B2">
      <w:pPr>
        <w:numPr>
          <w:ilvl w:val="1"/>
          <w:numId w:val="17"/>
        </w:numPr>
      </w:pPr>
      <w:r w:rsidRPr="00D054B2">
        <w:rPr>
          <w:b/>
          <w:bCs/>
        </w:rPr>
        <w:t>乐观情景（Bull Case）：</w:t>
      </w:r>
      <w:r w:rsidRPr="00D054B2">
        <w:t xml:space="preserve"> 假设公司的“摩尔-莱特飞轮”运转得异常顺利。例如，英伟达的Blackwell芯片大获成功，竞争对手无法追赶；特斯拉FSD实现重大突破，Robotaxi业务开启；比亚迪在欧洲市场份额迅速提升至10%以上。</w:t>
      </w:r>
    </w:p>
    <w:p w14:paraId="15649018" w14:textId="77777777" w:rsidR="00D054B2" w:rsidRPr="00D054B2" w:rsidRDefault="00D054B2" w:rsidP="00D054B2">
      <w:pPr>
        <w:numPr>
          <w:ilvl w:val="1"/>
          <w:numId w:val="17"/>
        </w:numPr>
      </w:pPr>
      <w:r w:rsidRPr="00D054B2">
        <w:rPr>
          <w:b/>
          <w:bCs/>
        </w:rPr>
        <w:t>悲观情景（Bear Case）：</w:t>
      </w:r>
      <w:r w:rsidRPr="00D054B2">
        <w:t xml:space="preserve"> 假设公司遭遇重大挑战，飞轮失速。例如，AI投资被证实是泡沫并破裂 ；主要经济体对中国电动车征收高额关税，比亚迪出海受阻；特斯拉FSD技术停滞不前，且面临更激烈的价格战。   </w:t>
      </w:r>
    </w:p>
    <w:p w14:paraId="4DF89454" w14:textId="77777777" w:rsidR="00D054B2" w:rsidRPr="00D054B2" w:rsidRDefault="00D054B2" w:rsidP="00D054B2">
      <w:pPr>
        <w:numPr>
          <w:ilvl w:val="0"/>
          <w:numId w:val="17"/>
        </w:numPr>
      </w:pPr>
      <w:r w:rsidRPr="00D054B2">
        <w:rPr>
          <w:b/>
          <w:bCs/>
        </w:rPr>
        <w:t>概率加权与结论：</w:t>
      </w:r>
      <w:r w:rsidRPr="00D054B2">
        <w:t xml:space="preserve"> 为每个情景赋予一个主观概率（如乐观25%，基础50%，悲观25%），然后计算出概率加权的期望估值。将这个期望估值与当前股价进行比较，并结合安全边际原则，形成最终的投资决策。</w:t>
      </w:r>
    </w:p>
    <w:p w14:paraId="545F296A" w14:textId="77777777" w:rsidR="00D054B2" w:rsidRPr="00D054B2" w:rsidRDefault="00D054B2" w:rsidP="00D054B2">
      <w:pPr>
        <w:rPr>
          <w:b/>
          <w:bCs/>
        </w:rPr>
      </w:pPr>
      <w:r w:rsidRPr="00D054B2">
        <w:rPr>
          <w:b/>
          <w:bCs/>
        </w:rPr>
        <w:t>5.4 案例应用：为英伟达（NVIDIA）进行多情景估值</w:t>
      </w:r>
    </w:p>
    <w:p w14:paraId="61C4AB9C" w14:textId="77777777" w:rsidR="00D054B2" w:rsidRPr="00D054B2" w:rsidRDefault="00D054B2" w:rsidP="00D054B2">
      <w:r w:rsidRPr="00D054B2">
        <w:t>让我们以英伟达为例，简要演示如何应用此框架。</w:t>
      </w:r>
    </w:p>
    <w:p w14:paraId="50F87349" w14:textId="77777777" w:rsidR="00D054B2" w:rsidRPr="00D054B2" w:rsidRDefault="00D054B2" w:rsidP="00D054B2">
      <w:pPr>
        <w:numPr>
          <w:ilvl w:val="0"/>
          <w:numId w:val="18"/>
        </w:numPr>
      </w:pPr>
      <w:r w:rsidRPr="00D054B2">
        <w:rPr>
          <w:b/>
          <w:bCs/>
        </w:rPr>
        <w:t>财务与业务现状（截至2025年中）：</w:t>
      </w:r>
    </w:p>
    <w:p w14:paraId="666B9BC6" w14:textId="77777777" w:rsidR="00D054B2" w:rsidRPr="00D054B2" w:rsidRDefault="00D054B2" w:rsidP="00D054B2">
      <w:pPr>
        <w:numPr>
          <w:ilvl w:val="1"/>
          <w:numId w:val="18"/>
        </w:numPr>
      </w:pPr>
      <w:r w:rsidRPr="00D054B2">
        <w:rPr>
          <w:b/>
          <w:bCs/>
        </w:rPr>
        <w:t>业绩：</w:t>
      </w:r>
      <w:r w:rsidRPr="00D054B2">
        <w:t xml:space="preserve"> 公司正经历由AI驱动的爆炸式增长。2025财年第一季度（截至2025年4月）营收高达260亿美元，同比增长262%；数据中心业务营收226亿美元，同比增长427% 。2025财年全年营收预计将超过1300亿美元 。   </w:t>
      </w:r>
    </w:p>
    <w:p w14:paraId="4943D61E" w14:textId="77777777" w:rsidR="00D054B2" w:rsidRPr="00D054B2" w:rsidRDefault="00D054B2" w:rsidP="00D054B2">
      <w:pPr>
        <w:numPr>
          <w:ilvl w:val="1"/>
          <w:numId w:val="18"/>
        </w:numPr>
      </w:pPr>
      <w:r w:rsidRPr="00D054B2">
        <w:rPr>
          <w:b/>
          <w:bCs/>
        </w:rPr>
        <w:t>市场地位：</w:t>
      </w:r>
      <w:r w:rsidRPr="00D054B2">
        <w:t xml:space="preserve"> 在AI加速器市场占据约80%-98%的绝对垄断地位 。其CUDA软件生态构成了深不可测的护城河 。   </w:t>
      </w:r>
    </w:p>
    <w:p w14:paraId="4A7A18E9" w14:textId="77777777" w:rsidR="00D054B2" w:rsidRPr="00D054B2" w:rsidRDefault="00D054B2" w:rsidP="00D054B2">
      <w:pPr>
        <w:numPr>
          <w:ilvl w:val="1"/>
          <w:numId w:val="18"/>
        </w:numPr>
      </w:pPr>
      <w:r w:rsidRPr="00D054B2">
        <w:rPr>
          <w:b/>
          <w:bCs/>
        </w:rPr>
        <w:t>估值：</w:t>
      </w:r>
      <w:r w:rsidRPr="00D054B2">
        <w:t xml:space="preserve"> 股价创历史新高，市值超过3.7万亿美元 。远期市盈率（Forward P/E）约为30-48倍，低于历史平均水平，因为盈利预测的增速超过了股价涨幅 。   </w:t>
      </w:r>
    </w:p>
    <w:p w14:paraId="491A7E95" w14:textId="77777777" w:rsidR="00D054B2" w:rsidRPr="00D054B2" w:rsidRDefault="00D054B2" w:rsidP="00D054B2">
      <w:pPr>
        <w:numPr>
          <w:ilvl w:val="0"/>
          <w:numId w:val="18"/>
        </w:numPr>
      </w:pPr>
      <w:r w:rsidRPr="00D054B2">
        <w:rPr>
          <w:b/>
          <w:bCs/>
        </w:rPr>
        <w:t>多情景估值假设：</w:t>
      </w:r>
    </w:p>
    <w:p w14:paraId="1876EF1A" w14:textId="77777777" w:rsidR="00D054B2" w:rsidRPr="00D054B2" w:rsidRDefault="00D054B2" w:rsidP="00D054B2">
      <w:pPr>
        <w:numPr>
          <w:ilvl w:val="1"/>
          <w:numId w:val="18"/>
        </w:numPr>
      </w:pPr>
      <w:r w:rsidRPr="00D054B2">
        <w:rPr>
          <w:b/>
          <w:bCs/>
        </w:rPr>
        <w:t>基础情景：</w:t>
      </w:r>
      <w:r w:rsidRPr="00D054B2">
        <w:t xml:space="preserve"> 假设AI数据中心需求在未来2-3年保持50%以上的年复合增长，之后逐步放缓。英伟达市场份额缓慢下降至70%左右。毛利率维持在70%以上。基于此，分析师普遍给出的目标价在170-220美元之间 。   </w:t>
      </w:r>
    </w:p>
    <w:p w14:paraId="25BF6B2C" w14:textId="77777777" w:rsidR="00D054B2" w:rsidRPr="00D054B2" w:rsidRDefault="00D054B2" w:rsidP="00D054B2">
      <w:pPr>
        <w:numPr>
          <w:ilvl w:val="1"/>
          <w:numId w:val="18"/>
        </w:numPr>
      </w:pPr>
      <w:r w:rsidRPr="00D054B2">
        <w:rPr>
          <w:b/>
          <w:bCs/>
        </w:rPr>
        <w:t>乐观情景（Bull Case）：</w:t>
      </w:r>
      <w:r w:rsidRPr="00D054B2">
        <w:t xml:space="preserve"> 出现“黄金AI浪潮” ，企业AI支出远超预期。英伟</w:t>
      </w:r>
      <w:r w:rsidRPr="00D054B2">
        <w:lastRenderedPageBreak/>
        <w:t xml:space="preserve">达不仅在硬件上保持垄断，其软件和云服务（如DGX Cloud）也成为新的增长引擎 。竞争对手AMD和Intel的追赶被证明无效 。在此情景下，有分析师（如Loop Capital）给出了高达250美元的目标价，并认为其长期市值可能达到6万亿美元 。   </w:t>
      </w:r>
    </w:p>
    <w:p w14:paraId="3B7F4FB3" w14:textId="77777777" w:rsidR="00D054B2" w:rsidRPr="00D054B2" w:rsidRDefault="00D054B2" w:rsidP="00D054B2">
      <w:pPr>
        <w:numPr>
          <w:ilvl w:val="1"/>
          <w:numId w:val="18"/>
        </w:numPr>
      </w:pPr>
      <w:r w:rsidRPr="00D054B2">
        <w:rPr>
          <w:b/>
          <w:bCs/>
        </w:rPr>
        <w:t>悲观情景（Bear Case）：</w:t>
      </w:r>
      <w:r w:rsidRPr="00D054B2">
        <w:t xml:space="preserve"> AI投资被证明存在泡沫，企业开始削减AI支出，导致需求断崖式下跌 。美国对华芯片出口管制进一步收紧，完全切断中国市场收入 。同时，大型云厂商的自研芯片或AMD的MI系列产品取得重大进展，侵蚀英伟达的市场份额和定价权 。在此情景下，英伟达的增长将急剧放缓甚至出现负增长，估值将大幅收缩。   </w:t>
      </w:r>
    </w:p>
    <w:p w14:paraId="1E216244" w14:textId="77777777" w:rsidR="00D054B2" w:rsidRPr="00D054B2" w:rsidRDefault="00D054B2" w:rsidP="00D054B2">
      <w:r w:rsidRPr="00D054B2">
        <w:t>通过对这三种情景的分析和概率加权，投资者可以得出一个更为理性的估值判断，并据此制定包含明确买入、持有和卖出区间的投资策略，从而在驾驭英伟达这艘“AI航母”的航程中，既能分享其巨大的增长潜力，又能有效管理其固有的高波动风险。</w:t>
      </w:r>
    </w:p>
    <w:p w14:paraId="01C39530" w14:textId="77777777" w:rsidR="00D054B2" w:rsidRPr="00D054B2" w:rsidRDefault="00D054B2" w:rsidP="00D054B2">
      <w:pPr>
        <w:rPr>
          <w:b/>
          <w:bCs/>
        </w:rPr>
      </w:pPr>
      <w:r w:rsidRPr="00D054B2">
        <w:rPr>
          <w:b/>
          <w:bCs/>
        </w:rPr>
        <w:t>第六部分：结论——驾驭变革的终极武器</w:t>
      </w:r>
    </w:p>
    <w:p w14:paraId="473EF4AE" w14:textId="77777777" w:rsidR="00D054B2" w:rsidRPr="00D054B2" w:rsidRDefault="00D054B2" w:rsidP="00D054B2">
      <w:r w:rsidRPr="00D054B2">
        <w:t>本报告构建的《指数引擎》投资框架，其核心在于将投资的焦点从追逐短期热点，转移到识别和分析那些能够驱动长期、非线性增长的根本动力——“摩尔-莱特飞轮”。这套框架旨在为身处技术革命浪潮中的投资者，提供一套系统、深刻且可操作的思想武器。</w:t>
      </w:r>
    </w:p>
    <w:p w14:paraId="553D916D" w14:textId="77777777" w:rsidR="00D054B2" w:rsidRPr="00D054B2" w:rsidRDefault="00D054B2" w:rsidP="00D054B2">
      <w:r w:rsidRPr="00D054B2">
        <w:t>其核心原则可归结为：</w:t>
      </w:r>
    </w:p>
    <w:p w14:paraId="3600E7C0" w14:textId="77777777" w:rsidR="00D054B2" w:rsidRPr="00D054B2" w:rsidRDefault="00D054B2" w:rsidP="00D054B2">
      <w:pPr>
        <w:numPr>
          <w:ilvl w:val="0"/>
          <w:numId w:val="19"/>
        </w:numPr>
      </w:pPr>
      <w:r w:rsidRPr="00D054B2">
        <w:rPr>
          <w:b/>
          <w:bCs/>
        </w:rPr>
        <w:t>寻找引擎，而非追逐火焰：</w:t>
      </w:r>
      <w:r w:rsidRPr="00D054B2">
        <w:t xml:space="preserve"> 真正的长期价值并非来源于一时的市场热度，而是源于企业内部那台能够持续进行指数级性能提升和成本优化的强大引擎。投资的本质，是成为这台引擎的股东。</w:t>
      </w:r>
    </w:p>
    <w:p w14:paraId="5BC792D4" w14:textId="77777777" w:rsidR="00D054B2" w:rsidRPr="00D054B2" w:rsidRDefault="00D054B2" w:rsidP="00D054B2">
      <w:pPr>
        <w:numPr>
          <w:ilvl w:val="0"/>
          <w:numId w:val="19"/>
        </w:numPr>
      </w:pPr>
      <w:r w:rsidRPr="00D054B2">
        <w:rPr>
          <w:b/>
          <w:bCs/>
        </w:rPr>
        <w:t>双重思维，立体决策：</w:t>
      </w:r>
      <w:r w:rsidRPr="00D054B2">
        <w:t xml:space="preserve"> 必须同时拥有“创始人”的深度洞察，以评估引擎的质量和可持续性；以及“交易员”的敏锐嗅觉，以捕捉市场对这台复杂引擎的错误定价。战略上的坚定和战术上的灵活，缺一不可。</w:t>
      </w:r>
    </w:p>
    <w:p w14:paraId="1258C64E" w14:textId="77777777" w:rsidR="00D054B2" w:rsidRPr="00D054B2" w:rsidRDefault="00D054B2" w:rsidP="00D054B2">
      <w:pPr>
        <w:numPr>
          <w:ilvl w:val="0"/>
          <w:numId w:val="19"/>
        </w:numPr>
      </w:pPr>
      <w:r w:rsidRPr="00D054B2">
        <w:rPr>
          <w:b/>
          <w:bCs/>
        </w:rPr>
        <w:t>拥抱非线性，量化不确定性：</w:t>
      </w:r>
      <w:r w:rsidRPr="00D054B2">
        <w:t xml:space="preserve"> 世界的演进，尤其是技术驱动的变革，本质上是非线性的。我们的投资模型和思维方式必须与之匹配。通过构建能够反映指数增长和多重未来的分析工具，我们才能更准确地为机遇和风险定价。</w:t>
      </w:r>
    </w:p>
    <w:p w14:paraId="72BC5867" w14:textId="77777777" w:rsidR="00D054B2" w:rsidRPr="00D054B2" w:rsidRDefault="00D054B2" w:rsidP="00D054B2">
      <w:pPr>
        <w:numPr>
          <w:ilvl w:val="0"/>
          <w:numId w:val="19"/>
        </w:numPr>
      </w:pPr>
      <w:r w:rsidRPr="00D054B2">
        <w:rPr>
          <w:b/>
          <w:bCs/>
        </w:rPr>
        <w:t>人机协同，持续进化：</w:t>
      </w:r>
      <w:r w:rsidRPr="00D054B2">
        <w:t xml:space="preserve"> 在信息爆炸的时代，人类分析师的战略洞察力与人工智能强大的数据处理和模式识别能力相结合，将成为未来投资研究的范式。本框架设计的每一步，都旨在促进这种高效的人机协同。而框架本身，也必须通过持续的复盘和学习，不断迭代，自我进化。</w:t>
      </w:r>
    </w:p>
    <w:p w14:paraId="3E985EDB" w14:textId="77777777" w:rsidR="00D054B2" w:rsidRPr="00D054B2" w:rsidRDefault="00D054B2" w:rsidP="00D054B2">
      <w:r w:rsidRPr="00D054B2">
        <w:t>展望未来，无论是人工智能、绿色能源还是生物科技，新的技术革命将继续以“摩尔-莱特飞轮”为底层逻辑，重塑产业格局。掌握了这套分析框架，投资者就如同拥有了一张能够穿越周期迷雾的藏宝图，能够更有信心地去发现并捕获那些真正能够改变世界、并为股东创造惊人回报的伟大公司。最终，投资是一场关于认知和纪律的修行，唯有不断深化对世界运转规律的理解，方能驾驭变革，行稳致远。</w:t>
      </w:r>
    </w:p>
    <w:p w14:paraId="3A84AA67" w14:textId="77777777" w:rsidR="00E276C2" w:rsidRDefault="00E276C2"/>
    <w:sectPr w:rsidR="00E276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A0C"/>
    <w:multiLevelType w:val="multilevel"/>
    <w:tmpl w:val="4864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C50F2"/>
    <w:multiLevelType w:val="multilevel"/>
    <w:tmpl w:val="1C987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A480F"/>
    <w:multiLevelType w:val="multilevel"/>
    <w:tmpl w:val="62C82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6600C"/>
    <w:multiLevelType w:val="multilevel"/>
    <w:tmpl w:val="00A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357EB"/>
    <w:multiLevelType w:val="multilevel"/>
    <w:tmpl w:val="13782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529E0"/>
    <w:multiLevelType w:val="multilevel"/>
    <w:tmpl w:val="686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77C95"/>
    <w:multiLevelType w:val="multilevel"/>
    <w:tmpl w:val="5CC08A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A34D5"/>
    <w:multiLevelType w:val="multilevel"/>
    <w:tmpl w:val="058C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77814"/>
    <w:multiLevelType w:val="multilevel"/>
    <w:tmpl w:val="F1FAA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26AB8"/>
    <w:multiLevelType w:val="multilevel"/>
    <w:tmpl w:val="C6CA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855816"/>
    <w:multiLevelType w:val="multilevel"/>
    <w:tmpl w:val="F842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9A23C9"/>
    <w:multiLevelType w:val="multilevel"/>
    <w:tmpl w:val="09C40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A3908"/>
    <w:multiLevelType w:val="multilevel"/>
    <w:tmpl w:val="45A2B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B3002"/>
    <w:multiLevelType w:val="multilevel"/>
    <w:tmpl w:val="D2ACB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26A48"/>
    <w:multiLevelType w:val="multilevel"/>
    <w:tmpl w:val="0F245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33C32"/>
    <w:multiLevelType w:val="multilevel"/>
    <w:tmpl w:val="1F4A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85CBB"/>
    <w:multiLevelType w:val="multilevel"/>
    <w:tmpl w:val="6F0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E532E"/>
    <w:multiLevelType w:val="multilevel"/>
    <w:tmpl w:val="C9B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F6F37"/>
    <w:multiLevelType w:val="multilevel"/>
    <w:tmpl w:val="C76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644442">
    <w:abstractNumId w:val="15"/>
  </w:num>
  <w:num w:numId="2" w16cid:durableId="918759382">
    <w:abstractNumId w:val="10"/>
  </w:num>
  <w:num w:numId="3" w16cid:durableId="687413619">
    <w:abstractNumId w:val="17"/>
  </w:num>
  <w:num w:numId="4" w16cid:durableId="444010242">
    <w:abstractNumId w:val="5"/>
  </w:num>
  <w:num w:numId="5" w16cid:durableId="1177889197">
    <w:abstractNumId w:val="18"/>
  </w:num>
  <w:num w:numId="6" w16cid:durableId="921838841">
    <w:abstractNumId w:val="3"/>
  </w:num>
  <w:num w:numId="7" w16cid:durableId="239873501">
    <w:abstractNumId w:val="1"/>
  </w:num>
  <w:num w:numId="8" w16cid:durableId="1009602089">
    <w:abstractNumId w:val="0"/>
  </w:num>
  <w:num w:numId="9" w16cid:durableId="1743215287">
    <w:abstractNumId w:val="11"/>
  </w:num>
  <w:num w:numId="10" w16cid:durableId="2098868654">
    <w:abstractNumId w:val="6"/>
  </w:num>
  <w:num w:numId="11" w16cid:durableId="1535384308">
    <w:abstractNumId w:val="2"/>
  </w:num>
  <w:num w:numId="12" w16cid:durableId="171721753">
    <w:abstractNumId w:val="13"/>
  </w:num>
  <w:num w:numId="13" w16cid:durableId="1832483427">
    <w:abstractNumId w:val="12"/>
  </w:num>
  <w:num w:numId="14" w16cid:durableId="1399205638">
    <w:abstractNumId w:val="16"/>
  </w:num>
  <w:num w:numId="15" w16cid:durableId="570039301">
    <w:abstractNumId w:val="8"/>
  </w:num>
  <w:num w:numId="16" w16cid:durableId="1181973902">
    <w:abstractNumId w:val="7"/>
  </w:num>
  <w:num w:numId="17" w16cid:durableId="882714378">
    <w:abstractNumId w:val="4"/>
  </w:num>
  <w:num w:numId="18" w16cid:durableId="35743055">
    <w:abstractNumId w:val="14"/>
  </w:num>
  <w:num w:numId="19" w16cid:durableId="353073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4B2"/>
    <w:rsid w:val="007706A0"/>
    <w:rsid w:val="0095645C"/>
    <w:rsid w:val="00D054B2"/>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103E3"/>
  <w15:chartTrackingRefBased/>
  <w15:docId w15:val="{C12C56FA-D410-4025-9C48-6D75A727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054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54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54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54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54B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054B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54B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54B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054B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54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54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54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54B2"/>
    <w:rPr>
      <w:rFonts w:cstheme="majorBidi"/>
      <w:color w:val="0F4761" w:themeColor="accent1" w:themeShade="BF"/>
      <w:sz w:val="28"/>
      <w:szCs w:val="28"/>
    </w:rPr>
  </w:style>
  <w:style w:type="character" w:customStyle="1" w:styleId="50">
    <w:name w:val="标题 5 字符"/>
    <w:basedOn w:val="a0"/>
    <w:link w:val="5"/>
    <w:uiPriority w:val="9"/>
    <w:semiHidden/>
    <w:rsid w:val="00D054B2"/>
    <w:rPr>
      <w:rFonts w:cstheme="majorBidi"/>
      <w:color w:val="0F4761" w:themeColor="accent1" w:themeShade="BF"/>
      <w:sz w:val="24"/>
      <w:szCs w:val="24"/>
    </w:rPr>
  </w:style>
  <w:style w:type="character" w:customStyle="1" w:styleId="60">
    <w:name w:val="标题 6 字符"/>
    <w:basedOn w:val="a0"/>
    <w:link w:val="6"/>
    <w:uiPriority w:val="9"/>
    <w:semiHidden/>
    <w:rsid w:val="00D054B2"/>
    <w:rPr>
      <w:rFonts w:cstheme="majorBidi"/>
      <w:b/>
      <w:bCs/>
      <w:color w:val="0F4761" w:themeColor="accent1" w:themeShade="BF"/>
    </w:rPr>
  </w:style>
  <w:style w:type="character" w:customStyle="1" w:styleId="70">
    <w:name w:val="标题 7 字符"/>
    <w:basedOn w:val="a0"/>
    <w:link w:val="7"/>
    <w:uiPriority w:val="9"/>
    <w:semiHidden/>
    <w:rsid w:val="00D054B2"/>
    <w:rPr>
      <w:rFonts w:cstheme="majorBidi"/>
      <w:b/>
      <w:bCs/>
      <w:color w:val="595959" w:themeColor="text1" w:themeTint="A6"/>
    </w:rPr>
  </w:style>
  <w:style w:type="character" w:customStyle="1" w:styleId="80">
    <w:name w:val="标题 8 字符"/>
    <w:basedOn w:val="a0"/>
    <w:link w:val="8"/>
    <w:uiPriority w:val="9"/>
    <w:semiHidden/>
    <w:rsid w:val="00D054B2"/>
    <w:rPr>
      <w:rFonts w:cstheme="majorBidi"/>
      <w:color w:val="595959" w:themeColor="text1" w:themeTint="A6"/>
    </w:rPr>
  </w:style>
  <w:style w:type="character" w:customStyle="1" w:styleId="90">
    <w:name w:val="标题 9 字符"/>
    <w:basedOn w:val="a0"/>
    <w:link w:val="9"/>
    <w:uiPriority w:val="9"/>
    <w:semiHidden/>
    <w:rsid w:val="00D054B2"/>
    <w:rPr>
      <w:rFonts w:eastAsiaTheme="majorEastAsia" w:cstheme="majorBidi"/>
      <w:color w:val="595959" w:themeColor="text1" w:themeTint="A6"/>
    </w:rPr>
  </w:style>
  <w:style w:type="paragraph" w:styleId="a3">
    <w:name w:val="Title"/>
    <w:basedOn w:val="a"/>
    <w:next w:val="a"/>
    <w:link w:val="a4"/>
    <w:uiPriority w:val="10"/>
    <w:qFormat/>
    <w:rsid w:val="00D054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54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4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54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4B2"/>
    <w:pPr>
      <w:spacing w:before="160" w:after="160"/>
      <w:jc w:val="center"/>
    </w:pPr>
    <w:rPr>
      <w:i/>
      <w:iCs/>
      <w:color w:val="404040" w:themeColor="text1" w:themeTint="BF"/>
    </w:rPr>
  </w:style>
  <w:style w:type="character" w:customStyle="1" w:styleId="a8">
    <w:name w:val="引用 字符"/>
    <w:basedOn w:val="a0"/>
    <w:link w:val="a7"/>
    <w:uiPriority w:val="29"/>
    <w:rsid w:val="00D054B2"/>
    <w:rPr>
      <w:i/>
      <w:iCs/>
      <w:color w:val="404040" w:themeColor="text1" w:themeTint="BF"/>
    </w:rPr>
  </w:style>
  <w:style w:type="paragraph" w:styleId="a9">
    <w:name w:val="List Paragraph"/>
    <w:basedOn w:val="a"/>
    <w:uiPriority w:val="34"/>
    <w:qFormat/>
    <w:rsid w:val="00D054B2"/>
    <w:pPr>
      <w:ind w:left="720"/>
      <w:contextualSpacing/>
    </w:pPr>
  </w:style>
  <w:style w:type="character" w:styleId="aa">
    <w:name w:val="Intense Emphasis"/>
    <w:basedOn w:val="a0"/>
    <w:uiPriority w:val="21"/>
    <w:qFormat/>
    <w:rsid w:val="00D054B2"/>
    <w:rPr>
      <w:i/>
      <w:iCs/>
      <w:color w:val="0F4761" w:themeColor="accent1" w:themeShade="BF"/>
    </w:rPr>
  </w:style>
  <w:style w:type="paragraph" w:styleId="ab">
    <w:name w:val="Intense Quote"/>
    <w:basedOn w:val="a"/>
    <w:next w:val="a"/>
    <w:link w:val="ac"/>
    <w:uiPriority w:val="30"/>
    <w:qFormat/>
    <w:rsid w:val="00D05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54B2"/>
    <w:rPr>
      <w:i/>
      <w:iCs/>
      <w:color w:val="0F4761" w:themeColor="accent1" w:themeShade="BF"/>
    </w:rPr>
  </w:style>
  <w:style w:type="character" w:styleId="ad">
    <w:name w:val="Intense Reference"/>
    <w:basedOn w:val="a0"/>
    <w:uiPriority w:val="32"/>
    <w:qFormat/>
    <w:rsid w:val="00D05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8154">
      <w:bodyDiv w:val="1"/>
      <w:marLeft w:val="0"/>
      <w:marRight w:val="0"/>
      <w:marTop w:val="0"/>
      <w:marBottom w:val="0"/>
      <w:divBdr>
        <w:top w:val="none" w:sz="0" w:space="0" w:color="auto"/>
        <w:left w:val="none" w:sz="0" w:space="0" w:color="auto"/>
        <w:bottom w:val="none" w:sz="0" w:space="0" w:color="auto"/>
        <w:right w:val="none" w:sz="0" w:space="0" w:color="auto"/>
      </w:divBdr>
      <w:divsChild>
        <w:div w:id="7566694">
          <w:blockQuote w:val="1"/>
          <w:marLeft w:val="720"/>
          <w:marRight w:val="720"/>
          <w:marTop w:val="100"/>
          <w:marBottom w:val="100"/>
          <w:divBdr>
            <w:top w:val="none" w:sz="0" w:space="0" w:color="auto"/>
            <w:left w:val="none" w:sz="0" w:space="0" w:color="auto"/>
            <w:bottom w:val="none" w:sz="0" w:space="0" w:color="auto"/>
            <w:right w:val="none" w:sz="0" w:space="0" w:color="auto"/>
          </w:divBdr>
        </w:div>
        <w:div w:id="33850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6857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4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736634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08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61312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291852">
      <w:bodyDiv w:val="1"/>
      <w:marLeft w:val="0"/>
      <w:marRight w:val="0"/>
      <w:marTop w:val="0"/>
      <w:marBottom w:val="0"/>
      <w:divBdr>
        <w:top w:val="none" w:sz="0" w:space="0" w:color="auto"/>
        <w:left w:val="none" w:sz="0" w:space="0" w:color="auto"/>
        <w:bottom w:val="none" w:sz="0" w:space="0" w:color="auto"/>
        <w:right w:val="none" w:sz="0" w:space="0" w:color="auto"/>
      </w:divBdr>
      <w:divsChild>
        <w:div w:id="49992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94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032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704118">
          <w:blockQuote w:val="1"/>
          <w:marLeft w:val="720"/>
          <w:marRight w:val="720"/>
          <w:marTop w:val="100"/>
          <w:marBottom w:val="100"/>
          <w:divBdr>
            <w:top w:val="none" w:sz="0" w:space="0" w:color="auto"/>
            <w:left w:val="none" w:sz="0" w:space="0" w:color="auto"/>
            <w:bottom w:val="none" w:sz="0" w:space="0" w:color="auto"/>
            <w:right w:val="none" w:sz="0" w:space="0" w:color="auto"/>
          </w:divBdr>
        </w:div>
        <w:div w:id="498934429">
          <w:blockQuote w:val="1"/>
          <w:marLeft w:val="720"/>
          <w:marRight w:val="720"/>
          <w:marTop w:val="100"/>
          <w:marBottom w:val="100"/>
          <w:divBdr>
            <w:top w:val="none" w:sz="0" w:space="0" w:color="auto"/>
            <w:left w:val="none" w:sz="0" w:space="0" w:color="auto"/>
            <w:bottom w:val="none" w:sz="0" w:space="0" w:color="auto"/>
            <w:right w:val="none" w:sz="0" w:space="0" w:color="auto"/>
          </w:divBdr>
        </w:div>
        <w:div w:id="907304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80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1804</Words>
  <Characters>10284</Characters>
  <Application>Microsoft Office Word</Application>
  <DocSecurity>0</DocSecurity>
  <Lines>85</Lines>
  <Paragraphs>24</Paragraphs>
  <ScaleCrop>false</ScaleCrop>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2025-06-26T06:22:00Z</dcterms:created>
  <dcterms:modified xsi:type="dcterms:W3CDTF">2025-06-26T06:23:00Z</dcterms:modified>
</cp:coreProperties>
</file>