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49DA" w14:textId="77777777" w:rsidR="00E276C2" w:rsidRDefault="00E276C2"/>
    <w:p w14:paraId="48E2DEE0" w14:textId="77777777" w:rsidR="00147675" w:rsidRPr="00147675" w:rsidRDefault="00147675" w:rsidP="00147675">
      <w:pPr>
        <w:rPr>
          <w:b/>
          <w:bCs/>
        </w:rPr>
      </w:pPr>
      <w:r w:rsidRPr="00147675">
        <w:rPr>
          <w:b/>
          <w:bCs/>
        </w:rPr>
        <w:t>周金涛周期框架：一套系统的投资策略与公司分析方法论</w:t>
      </w:r>
    </w:p>
    <w:p w14:paraId="428D1389" w14:textId="77777777" w:rsidR="00147675" w:rsidRPr="00147675" w:rsidRDefault="00147675" w:rsidP="00147675">
      <w:pPr>
        <w:rPr>
          <w:b/>
          <w:bCs/>
        </w:rPr>
      </w:pPr>
      <w:r w:rsidRPr="00147675">
        <w:rPr>
          <w:b/>
          <w:bCs/>
        </w:rPr>
        <w:t>第一部分：理论基石——通过周金涛的周期棱镜理解世界</w:t>
      </w:r>
    </w:p>
    <w:p w14:paraId="393358A5" w14:textId="77777777" w:rsidR="00147675" w:rsidRPr="00147675" w:rsidRDefault="00147675" w:rsidP="00147675">
      <w:r w:rsidRPr="00147675">
        <w:t>在构建任何可执行的投资框架之前，必须首先理解其底层的哲学思想。周金涛的整个分析体系建立在一个宏大而具有决定论色彩的世界观之上：宏观周期是塑造投资结果的首要、甚至是唯一重要的力量。任何脱离这一宏观背景的微观分析，都可能失之毫厘，谬以千里。</w:t>
      </w:r>
    </w:p>
    <w:p w14:paraId="01DC7EAC" w14:textId="77777777" w:rsidR="00147675" w:rsidRPr="00147675" w:rsidRDefault="00147675" w:rsidP="00147675">
      <w:pPr>
        <w:rPr>
          <w:b/>
          <w:bCs/>
        </w:rPr>
      </w:pPr>
      <w:r w:rsidRPr="00147675">
        <w:rPr>
          <w:b/>
          <w:bCs/>
        </w:rPr>
        <w:t>1.1 “人生发财靠康波”——周期决定论的核心哲学</w:t>
      </w:r>
    </w:p>
    <w:p w14:paraId="02F43FF7" w14:textId="77777777" w:rsidR="00147675" w:rsidRPr="00147675" w:rsidRDefault="00147675" w:rsidP="00147675">
      <w:r w:rsidRPr="00147675">
        <w:t>周金涛最为人熟知的论断是“人生发财靠康波” 。这句话并非简单的投资口号，而是其整个思想体系的基石。它深刻地揭示了一个核心观点：个人的财富积累，其根本源泉并非个人能力的高低，而是经济周期运动在时间维度上所赋予的机遇 。周金涛曾以</w:t>
      </w:r>
      <w:proofErr w:type="gramStart"/>
      <w:r w:rsidRPr="00147675">
        <w:t>煤老板</w:t>
      </w:r>
      <w:proofErr w:type="gramEnd"/>
      <w:r w:rsidRPr="00147675">
        <w:t xml:space="preserve">为例，指出他们在过去十年成为暴富的典型，并非因为他们具备超越常人的商业才能，而是因为他们恰好处于康德拉季耶夫周期（康波）所驱动的大宗商品牛市之中，这是“天时”给予的机会 。   </w:t>
      </w:r>
    </w:p>
    <w:p w14:paraId="6F46920A" w14:textId="77777777" w:rsidR="00147675" w:rsidRPr="00147675" w:rsidRDefault="00147675" w:rsidP="00147675">
      <w:r w:rsidRPr="00147675">
        <w:t xml:space="preserve">这一论断的直接推论是宏观之于微观的绝对优先性。在周金涛的视角里，一家优秀的公司若处于错误的大周期阶段，其发展将举步维艰；反之，一家平庸的公司若能踏准周期的节拍，则可能获得巨大的成功。这种思想贯穿着一种强烈的宿命感，但他并非宣扬消极无为。相反，他提出了“宿命与反抗”（宿命与反抗）这一核心的哲学张力 。   </w:t>
      </w:r>
    </w:p>
    <w:p w14:paraId="015D7A06" w14:textId="77777777" w:rsidR="00147675" w:rsidRPr="00147675" w:rsidRDefault="00147675" w:rsidP="00147675">
      <w:r w:rsidRPr="00147675">
        <w:t xml:space="preserve">“宿命”指的是康波周期长达60年的巨大惯性，它是不可逆转的“天道”，是任何个人和组织都必须面对的宏观环境 。而“反抗”则是指通过深入研究周期规律，理解自身在宏观坐标系中的位置，从而做出顺势而为的理性决策。这种“反抗”并非要逆转周期，而是通过认知来驾驭周期，避免成为其无知的牺牲品。   </w:t>
      </w:r>
    </w:p>
    <w:p w14:paraId="7A1EF5D8" w14:textId="77777777" w:rsidR="00147675" w:rsidRPr="00147675" w:rsidRDefault="00147675" w:rsidP="00147675">
      <w:r w:rsidRPr="00147675">
        <w:t>这种哲学张力最终导向一个实际的投资策略。它将投资决策清晰地划分为两个层面：</w:t>
      </w:r>
    </w:p>
    <w:p w14:paraId="10CA4C1F" w14:textId="77777777" w:rsidR="00147675" w:rsidRPr="00147675" w:rsidRDefault="00147675" w:rsidP="00147675">
      <w:pPr>
        <w:numPr>
          <w:ilvl w:val="0"/>
          <w:numId w:val="1"/>
        </w:numPr>
      </w:pPr>
      <w:r w:rsidRPr="00147675">
        <w:rPr>
          <w:b/>
          <w:bCs/>
        </w:rPr>
        <w:t>战略层面（宿命）：</w:t>
      </w:r>
      <w:r w:rsidRPr="00147675">
        <w:t xml:space="preserve"> 投资者的首要任务是识别当前所处的康波周期阶段。这一判断将决定其资产组合的长期战略偏向（例如，应该超配商品还是科技股）。试图对抗长波的“宿命”，如在萧条</w:t>
      </w:r>
      <w:proofErr w:type="gramStart"/>
      <w:r w:rsidRPr="00147675">
        <w:t>期重仓强</w:t>
      </w:r>
      <w:proofErr w:type="gramEnd"/>
      <w:r w:rsidRPr="00147675">
        <w:t>周期资产，是徒劳且危险的。</w:t>
      </w:r>
    </w:p>
    <w:p w14:paraId="3BD6E873" w14:textId="77777777" w:rsidR="00147675" w:rsidRPr="00147675" w:rsidRDefault="00147675" w:rsidP="00147675">
      <w:pPr>
        <w:numPr>
          <w:ilvl w:val="0"/>
          <w:numId w:val="1"/>
        </w:numPr>
      </w:pPr>
      <w:r w:rsidRPr="00147675">
        <w:rPr>
          <w:b/>
          <w:bCs/>
        </w:rPr>
        <w:t>战术层面（反抗）：</w:t>
      </w:r>
      <w:r w:rsidRPr="00147675">
        <w:t xml:space="preserve"> 在长周期设定的宏观约束下，投资者可以通过分析嵌套于其中的中、短周期来寻找战术性机会。例如，在康波的</w:t>
      </w:r>
      <w:proofErr w:type="gramStart"/>
      <w:r w:rsidRPr="00147675">
        <w:t>萧条大</w:t>
      </w:r>
      <w:proofErr w:type="gramEnd"/>
      <w:r w:rsidRPr="00147675">
        <w:t>背景下，依然可以抓住由库存周期（</w:t>
      </w:r>
      <w:proofErr w:type="gramStart"/>
      <w:r w:rsidRPr="00147675">
        <w:t>基钦周期</w:t>
      </w:r>
      <w:proofErr w:type="gramEnd"/>
      <w:r w:rsidRPr="00147675">
        <w:t>）驱动的短暂反弹，实现超额收益。这便是积极管理和主动择时的“反抗”空间。</w:t>
      </w:r>
    </w:p>
    <w:p w14:paraId="3EA05D8B" w14:textId="77777777" w:rsidR="00147675" w:rsidRPr="00147675" w:rsidRDefault="00147675" w:rsidP="00147675">
      <w:r w:rsidRPr="00147675">
        <w:t xml:space="preserve">为了强调把握周期拐点的重要性，周金涛提出了著名的“人生三次机会”理论。他认为，一个人的有效职业生涯大约为60年，恰好与一个康波周期长度相当。在此期间，理论上只有三次能够实现财富量级跃升的重大机会，这些机会通常出现在大的周期性拐点 。例如，他曾指出2008年和2019年就是这样的关键节点 。这一理论的本质是提醒投资者，最重大的机遇是稀缺的，需要极大的耐心去等待，并在机会来临时果断行动。   </w:t>
      </w:r>
    </w:p>
    <w:p w14:paraId="29316834" w14:textId="77777777" w:rsidR="00147675" w:rsidRPr="00147675" w:rsidRDefault="00147675" w:rsidP="00147675">
      <w:pPr>
        <w:rPr>
          <w:b/>
          <w:bCs/>
        </w:rPr>
      </w:pPr>
      <w:r w:rsidRPr="00147675">
        <w:rPr>
          <w:b/>
          <w:bCs/>
        </w:rPr>
        <w:t>1.2 宏大架构：</w:t>
      </w:r>
      <w:proofErr w:type="gramStart"/>
      <w:r w:rsidRPr="00147675">
        <w:rPr>
          <w:b/>
          <w:bCs/>
        </w:rPr>
        <w:t>解构四周期</w:t>
      </w:r>
      <w:proofErr w:type="gramEnd"/>
      <w:r w:rsidRPr="00147675">
        <w:rPr>
          <w:b/>
          <w:bCs/>
        </w:rPr>
        <w:t>嵌套模型</w:t>
      </w:r>
    </w:p>
    <w:p w14:paraId="67774A09" w14:textId="77777777" w:rsidR="00147675" w:rsidRPr="00147675" w:rsidRDefault="00147675" w:rsidP="00147675">
      <w:r w:rsidRPr="00147675">
        <w:t xml:space="preserve">周金涛的周期理论并非孤立地看待康波，而是在熊彼特三周期嵌套理论的基础上，发展出了一套更为系统化的“四周期嵌套模型” 。这个模型是其进行宏观经济定位和资产配置的“精密定位仪” 。该模型认为，全球经济由四个不同长度的周期相互嵌套、共同驱动。   </w:t>
      </w:r>
    </w:p>
    <w:p w14:paraId="66602F7B" w14:textId="77777777" w:rsidR="00147675" w:rsidRPr="00147675" w:rsidRDefault="00147675" w:rsidP="00147675">
      <w:pPr>
        <w:numPr>
          <w:ilvl w:val="0"/>
          <w:numId w:val="2"/>
        </w:numPr>
      </w:pPr>
      <w:r w:rsidRPr="00147675">
        <w:rPr>
          <w:b/>
          <w:bCs/>
        </w:rPr>
        <w:t>康德拉季耶夫周期 (Kondratiev Wave, 康波):</w:t>
      </w:r>
      <w:r w:rsidRPr="00147675">
        <w:t xml:space="preserve"> 这是最长的周期，跨度约为50-60年。其根本驱动力是基础性的技术革命，如蒸汽机、铁路、电力和信息技术 。康波决定了全球经济数十年的宏大叙事，是增长与衰退的根本来源。   </w:t>
      </w:r>
    </w:p>
    <w:p w14:paraId="130A7753" w14:textId="77777777" w:rsidR="00147675" w:rsidRPr="00147675" w:rsidRDefault="00147675" w:rsidP="00147675">
      <w:pPr>
        <w:numPr>
          <w:ilvl w:val="0"/>
          <w:numId w:val="2"/>
        </w:numPr>
      </w:pPr>
      <w:r w:rsidRPr="00147675">
        <w:rPr>
          <w:b/>
          <w:bCs/>
        </w:rPr>
        <w:t>库兹涅茨周期 (Kuznets Cycle):</w:t>
      </w:r>
      <w:r w:rsidRPr="00147675">
        <w:t xml:space="preserve"> 也称为建筑业周期或房地产周期，长度约为15-25年 。周金涛认为，人的一生大约会经历三次库兹涅茨周期，这是理解房地产市场大顶与大底的关键 。他以此为据，判断中国房地产周期在2014年见顶，并将在2019年前后迎来一个重要的低点 。   </w:t>
      </w:r>
    </w:p>
    <w:p w14:paraId="13906560" w14:textId="77777777" w:rsidR="00147675" w:rsidRPr="00147675" w:rsidRDefault="00147675" w:rsidP="00147675">
      <w:pPr>
        <w:numPr>
          <w:ilvl w:val="0"/>
          <w:numId w:val="2"/>
        </w:numPr>
      </w:pPr>
      <w:r w:rsidRPr="00147675">
        <w:rPr>
          <w:b/>
          <w:bCs/>
        </w:rPr>
        <w:lastRenderedPageBreak/>
        <w:t>朱格拉周期 (Juglar Cycle):</w:t>
      </w:r>
      <w:r w:rsidRPr="00147675">
        <w:t xml:space="preserve"> 也称为固定资产投资周期，长度约为7-11年 。它主要由企业的资本设备更新和产能扩张驱动，是理解制造业和中游产业景气度的核心。   </w:t>
      </w:r>
    </w:p>
    <w:p w14:paraId="258DCC86" w14:textId="77777777" w:rsidR="00147675" w:rsidRPr="00147675" w:rsidRDefault="00147675" w:rsidP="00147675">
      <w:pPr>
        <w:numPr>
          <w:ilvl w:val="0"/>
          <w:numId w:val="2"/>
        </w:numPr>
      </w:pPr>
      <w:proofErr w:type="gramStart"/>
      <w:r w:rsidRPr="00147675">
        <w:rPr>
          <w:b/>
          <w:bCs/>
        </w:rPr>
        <w:t>基钦周期</w:t>
      </w:r>
      <w:proofErr w:type="gramEnd"/>
      <w:r w:rsidRPr="00147675">
        <w:rPr>
          <w:b/>
          <w:bCs/>
        </w:rPr>
        <w:t xml:space="preserve"> (Kitchin Cycle):</w:t>
      </w:r>
      <w:r w:rsidRPr="00147675">
        <w:t xml:space="preserve"> 也称为库存周期，是四个周期中最短的，长度约为3-5年 。它由企业补充和消耗库存的行为驱动，直接影响短期经济波动和市场情绪。   </w:t>
      </w:r>
    </w:p>
    <w:p w14:paraId="4BEBF071" w14:textId="77777777" w:rsidR="00147675" w:rsidRPr="00147675" w:rsidRDefault="00147675" w:rsidP="00147675">
      <w:r w:rsidRPr="00147675">
        <w:t>这四个周期的关系并非并列，而是层层嵌套。周金涛在其演讲中给出了一个清晰的对应关系：一个康波周期大约包含3个库兹涅茨周期，6个朱格拉周期和</w:t>
      </w:r>
      <w:proofErr w:type="gramStart"/>
      <w:r w:rsidRPr="00147675">
        <w:t>18个基钦周期</w:t>
      </w:r>
      <w:proofErr w:type="gramEnd"/>
      <w:r w:rsidRPr="00147675">
        <w:t xml:space="preserve"> 。这个金字塔式的结构构成了其自上而下分析框架的骨架。   </w:t>
      </w:r>
    </w:p>
    <w:p w14:paraId="35740EFF" w14:textId="77777777" w:rsidR="00147675" w:rsidRPr="00147675" w:rsidRDefault="00147675" w:rsidP="00147675">
      <w:r w:rsidRPr="00147675">
        <w:rPr>
          <w:b/>
          <w:bCs/>
        </w:rPr>
        <w:t>表1：周金涛四周期嵌套模型特征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554"/>
        <w:gridCol w:w="1353"/>
        <w:gridCol w:w="2551"/>
        <w:gridCol w:w="2753"/>
      </w:tblGrid>
      <w:tr w:rsidR="00147675" w:rsidRPr="00147675" w14:paraId="71BD0426" w14:textId="77777777" w:rsidTr="00147675">
        <w:trPr>
          <w:tblHeader/>
          <w:tblCellSpacing w:w="15" w:type="dxa"/>
        </w:trPr>
        <w:tc>
          <w:tcPr>
            <w:tcW w:w="0" w:type="auto"/>
            <w:vAlign w:val="center"/>
            <w:hideMark/>
          </w:tcPr>
          <w:p w14:paraId="40700E59" w14:textId="77777777" w:rsidR="00147675" w:rsidRPr="00147675" w:rsidRDefault="00147675" w:rsidP="00147675">
            <w:r w:rsidRPr="00147675">
              <w:t>周期名称</w:t>
            </w:r>
          </w:p>
        </w:tc>
        <w:tc>
          <w:tcPr>
            <w:tcW w:w="0" w:type="auto"/>
            <w:vAlign w:val="center"/>
            <w:hideMark/>
          </w:tcPr>
          <w:p w14:paraId="25E351A3" w14:textId="77777777" w:rsidR="00147675" w:rsidRPr="00147675" w:rsidRDefault="00147675" w:rsidP="00147675">
            <w:r w:rsidRPr="00147675">
              <w:t>平均时长</w:t>
            </w:r>
          </w:p>
        </w:tc>
        <w:tc>
          <w:tcPr>
            <w:tcW w:w="0" w:type="auto"/>
            <w:vAlign w:val="center"/>
            <w:hideMark/>
          </w:tcPr>
          <w:p w14:paraId="1CBFA3DF" w14:textId="77777777" w:rsidR="00147675" w:rsidRPr="00147675" w:rsidRDefault="00147675" w:rsidP="00147675">
            <w:r w:rsidRPr="00147675">
              <w:t>核心驱动力</w:t>
            </w:r>
          </w:p>
        </w:tc>
        <w:tc>
          <w:tcPr>
            <w:tcW w:w="0" w:type="auto"/>
            <w:vAlign w:val="center"/>
            <w:hideMark/>
          </w:tcPr>
          <w:p w14:paraId="7EFE6AB0" w14:textId="77777777" w:rsidR="00147675" w:rsidRPr="00147675" w:rsidRDefault="00147675" w:rsidP="00147675">
            <w:r w:rsidRPr="00147675">
              <w:t>关键经济指标</w:t>
            </w:r>
          </w:p>
        </w:tc>
        <w:tc>
          <w:tcPr>
            <w:tcW w:w="0" w:type="auto"/>
            <w:vAlign w:val="center"/>
            <w:hideMark/>
          </w:tcPr>
          <w:p w14:paraId="014FE97D" w14:textId="77777777" w:rsidR="00147675" w:rsidRPr="00147675" w:rsidRDefault="00147675" w:rsidP="00147675">
            <w:r w:rsidRPr="00147675">
              <w:t>在框架中的作用</w:t>
            </w:r>
          </w:p>
        </w:tc>
      </w:tr>
      <w:tr w:rsidR="00147675" w:rsidRPr="00147675" w14:paraId="2969A802" w14:textId="77777777" w:rsidTr="00147675">
        <w:trPr>
          <w:tblCellSpacing w:w="15" w:type="dxa"/>
        </w:trPr>
        <w:tc>
          <w:tcPr>
            <w:tcW w:w="0" w:type="auto"/>
            <w:vAlign w:val="center"/>
            <w:hideMark/>
          </w:tcPr>
          <w:p w14:paraId="7B55184B" w14:textId="77777777" w:rsidR="00147675" w:rsidRPr="00147675" w:rsidRDefault="00147675" w:rsidP="00147675">
            <w:r w:rsidRPr="00147675">
              <w:rPr>
                <w:b/>
                <w:bCs/>
              </w:rPr>
              <w:t>康德拉季耶夫周期 (康波)</w:t>
            </w:r>
          </w:p>
        </w:tc>
        <w:tc>
          <w:tcPr>
            <w:tcW w:w="0" w:type="auto"/>
            <w:vAlign w:val="center"/>
            <w:hideMark/>
          </w:tcPr>
          <w:p w14:paraId="0A91EF9C" w14:textId="77777777" w:rsidR="00147675" w:rsidRPr="00147675" w:rsidRDefault="00147675" w:rsidP="00147675">
            <w:r w:rsidRPr="00147675">
              <w:t>50-60年</w:t>
            </w:r>
          </w:p>
        </w:tc>
        <w:tc>
          <w:tcPr>
            <w:tcW w:w="0" w:type="auto"/>
            <w:vAlign w:val="center"/>
            <w:hideMark/>
          </w:tcPr>
          <w:p w14:paraId="1BA1D89D" w14:textId="77777777" w:rsidR="00147675" w:rsidRPr="00147675" w:rsidRDefault="00147675" w:rsidP="00147675">
            <w:r w:rsidRPr="00147675">
              <w:t xml:space="preserve">基础性技术革命、产业集群更迭   </w:t>
            </w:r>
          </w:p>
        </w:tc>
        <w:tc>
          <w:tcPr>
            <w:tcW w:w="0" w:type="auto"/>
            <w:vAlign w:val="center"/>
            <w:hideMark/>
          </w:tcPr>
          <w:p w14:paraId="2AFFC791" w14:textId="77777777" w:rsidR="00147675" w:rsidRPr="00147675" w:rsidRDefault="00147675" w:rsidP="00147675">
            <w:r w:rsidRPr="00147675">
              <w:t>全要素生产率 (TFP) 增长、专利申请数、长期利率与通胀趋势</w:t>
            </w:r>
          </w:p>
        </w:tc>
        <w:tc>
          <w:tcPr>
            <w:tcW w:w="0" w:type="auto"/>
            <w:vAlign w:val="center"/>
            <w:hideMark/>
          </w:tcPr>
          <w:p w14:paraId="3197D8EC" w14:textId="77777777" w:rsidR="00147675" w:rsidRPr="00147675" w:rsidRDefault="00147675" w:rsidP="00147675">
            <w:r w:rsidRPr="00147675">
              <w:t>决定长达数十年的宏观经济背景（增长/停滞），是战略资产配置的根本依据。</w:t>
            </w:r>
          </w:p>
        </w:tc>
      </w:tr>
      <w:tr w:rsidR="00147675" w:rsidRPr="00147675" w14:paraId="61FBCE00" w14:textId="77777777" w:rsidTr="00147675">
        <w:trPr>
          <w:tblCellSpacing w:w="15" w:type="dxa"/>
        </w:trPr>
        <w:tc>
          <w:tcPr>
            <w:tcW w:w="0" w:type="auto"/>
            <w:vAlign w:val="center"/>
            <w:hideMark/>
          </w:tcPr>
          <w:p w14:paraId="555F1923" w14:textId="77777777" w:rsidR="00147675" w:rsidRPr="00147675" w:rsidRDefault="00147675" w:rsidP="00147675">
            <w:r w:rsidRPr="00147675">
              <w:rPr>
                <w:b/>
                <w:bCs/>
              </w:rPr>
              <w:t>库兹涅茨周期 (房地产周期)</w:t>
            </w:r>
          </w:p>
        </w:tc>
        <w:tc>
          <w:tcPr>
            <w:tcW w:w="0" w:type="auto"/>
            <w:vAlign w:val="center"/>
            <w:hideMark/>
          </w:tcPr>
          <w:p w14:paraId="3C542756" w14:textId="77777777" w:rsidR="00147675" w:rsidRPr="00147675" w:rsidRDefault="00147675" w:rsidP="00147675">
            <w:r w:rsidRPr="00147675">
              <w:t>15-25年</w:t>
            </w:r>
          </w:p>
        </w:tc>
        <w:tc>
          <w:tcPr>
            <w:tcW w:w="0" w:type="auto"/>
            <w:vAlign w:val="center"/>
            <w:hideMark/>
          </w:tcPr>
          <w:p w14:paraId="0375DCFF" w14:textId="77777777" w:rsidR="00147675" w:rsidRPr="00147675" w:rsidRDefault="00147675" w:rsidP="00147675">
            <w:r w:rsidRPr="00147675">
              <w:t xml:space="preserve">建筑业、人口结构变动   </w:t>
            </w:r>
          </w:p>
        </w:tc>
        <w:tc>
          <w:tcPr>
            <w:tcW w:w="0" w:type="auto"/>
            <w:vAlign w:val="center"/>
            <w:hideMark/>
          </w:tcPr>
          <w:p w14:paraId="5BABD271" w14:textId="77777777" w:rsidR="00147675" w:rsidRPr="00147675" w:rsidRDefault="00147675" w:rsidP="00147675">
            <w:r w:rsidRPr="00147675">
              <w:t>房地产投资、新屋开工、土地成交、房价收入比</w:t>
            </w:r>
          </w:p>
        </w:tc>
        <w:tc>
          <w:tcPr>
            <w:tcW w:w="0" w:type="auto"/>
            <w:vAlign w:val="center"/>
            <w:hideMark/>
          </w:tcPr>
          <w:p w14:paraId="69B50E8B" w14:textId="77777777" w:rsidR="00147675" w:rsidRPr="00147675" w:rsidRDefault="00147675" w:rsidP="00147675">
            <w:r w:rsidRPr="00147675">
              <w:t>用于判断房地产等长周期资产的拐点，是人生重大财富机会的主要来源之一。</w:t>
            </w:r>
          </w:p>
        </w:tc>
      </w:tr>
      <w:tr w:rsidR="00147675" w:rsidRPr="00147675" w14:paraId="5B11E891" w14:textId="77777777" w:rsidTr="00147675">
        <w:trPr>
          <w:tblCellSpacing w:w="15" w:type="dxa"/>
        </w:trPr>
        <w:tc>
          <w:tcPr>
            <w:tcW w:w="0" w:type="auto"/>
            <w:vAlign w:val="center"/>
            <w:hideMark/>
          </w:tcPr>
          <w:p w14:paraId="141AB83C" w14:textId="77777777" w:rsidR="00147675" w:rsidRPr="00147675" w:rsidRDefault="00147675" w:rsidP="00147675">
            <w:r w:rsidRPr="00147675">
              <w:rPr>
                <w:b/>
                <w:bCs/>
              </w:rPr>
              <w:t>朱格拉周期 (设备投资周期)</w:t>
            </w:r>
          </w:p>
        </w:tc>
        <w:tc>
          <w:tcPr>
            <w:tcW w:w="0" w:type="auto"/>
            <w:vAlign w:val="center"/>
            <w:hideMark/>
          </w:tcPr>
          <w:p w14:paraId="601A8E4B" w14:textId="77777777" w:rsidR="00147675" w:rsidRPr="00147675" w:rsidRDefault="00147675" w:rsidP="00147675">
            <w:r w:rsidRPr="00147675">
              <w:t>7-11年</w:t>
            </w:r>
          </w:p>
        </w:tc>
        <w:tc>
          <w:tcPr>
            <w:tcW w:w="0" w:type="auto"/>
            <w:vAlign w:val="center"/>
            <w:hideMark/>
          </w:tcPr>
          <w:p w14:paraId="75D1AB6F" w14:textId="77777777" w:rsidR="00147675" w:rsidRPr="00147675" w:rsidRDefault="00147675" w:rsidP="00147675">
            <w:r w:rsidRPr="00147675">
              <w:t xml:space="preserve">企业固定资产投资、产能更替   </w:t>
            </w:r>
          </w:p>
        </w:tc>
        <w:tc>
          <w:tcPr>
            <w:tcW w:w="0" w:type="auto"/>
            <w:vAlign w:val="center"/>
            <w:hideMark/>
          </w:tcPr>
          <w:p w14:paraId="07AAB983" w14:textId="77777777" w:rsidR="00147675" w:rsidRPr="00147675" w:rsidRDefault="00147675" w:rsidP="00147675">
            <w:r w:rsidRPr="00147675">
              <w:t>制造业PMI、固定资产投资完成额、工业产能利用率、企业中长期贷款</w:t>
            </w:r>
          </w:p>
        </w:tc>
        <w:tc>
          <w:tcPr>
            <w:tcW w:w="0" w:type="auto"/>
            <w:vAlign w:val="center"/>
            <w:hideMark/>
          </w:tcPr>
          <w:p w14:paraId="3B9B978E" w14:textId="77777777" w:rsidR="00147675" w:rsidRPr="00147675" w:rsidRDefault="00147675" w:rsidP="00147675">
            <w:r w:rsidRPr="00147675">
              <w:t>决定中周期的经济景气和企业盈利能力，是行业轮</w:t>
            </w:r>
            <w:proofErr w:type="gramStart"/>
            <w:r w:rsidRPr="00147675">
              <w:t>动分析</w:t>
            </w:r>
            <w:proofErr w:type="gramEnd"/>
            <w:r w:rsidRPr="00147675">
              <w:t>的重要基础。</w:t>
            </w:r>
          </w:p>
        </w:tc>
      </w:tr>
      <w:tr w:rsidR="00147675" w:rsidRPr="00147675" w14:paraId="3419BFDA" w14:textId="77777777" w:rsidTr="00147675">
        <w:trPr>
          <w:tblCellSpacing w:w="15" w:type="dxa"/>
        </w:trPr>
        <w:tc>
          <w:tcPr>
            <w:tcW w:w="0" w:type="auto"/>
            <w:vAlign w:val="center"/>
            <w:hideMark/>
          </w:tcPr>
          <w:p w14:paraId="5913F58A" w14:textId="77777777" w:rsidR="00147675" w:rsidRPr="00147675" w:rsidRDefault="00147675" w:rsidP="00147675">
            <w:proofErr w:type="gramStart"/>
            <w:r w:rsidRPr="00147675">
              <w:rPr>
                <w:b/>
                <w:bCs/>
              </w:rPr>
              <w:t>基钦周期</w:t>
            </w:r>
            <w:proofErr w:type="gramEnd"/>
            <w:r w:rsidRPr="00147675">
              <w:rPr>
                <w:b/>
                <w:bCs/>
              </w:rPr>
              <w:t xml:space="preserve"> (库存周期)</w:t>
            </w:r>
          </w:p>
        </w:tc>
        <w:tc>
          <w:tcPr>
            <w:tcW w:w="0" w:type="auto"/>
            <w:vAlign w:val="center"/>
            <w:hideMark/>
          </w:tcPr>
          <w:p w14:paraId="6DBF9A6D" w14:textId="77777777" w:rsidR="00147675" w:rsidRPr="00147675" w:rsidRDefault="00147675" w:rsidP="00147675">
            <w:r w:rsidRPr="00147675">
              <w:t>3-5年</w:t>
            </w:r>
          </w:p>
        </w:tc>
        <w:tc>
          <w:tcPr>
            <w:tcW w:w="0" w:type="auto"/>
            <w:vAlign w:val="center"/>
            <w:hideMark/>
          </w:tcPr>
          <w:p w14:paraId="6A944BFE" w14:textId="77777777" w:rsidR="00147675" w:rsidRPr="00147675" w:rsidRDefault="00147675" w:rsidP="00147675">
            <w:r w:rsidRPr="00147675">
              <w:t xml:space="preserve">企业库存变化   </w:t>
            </w:r>
          </w:p>
        </w:tc>
        <w:tc>
          <w:tcPr>
            <w:tcW w:w="0" w:type="auto"/>
            <w:vAlign w:val="center"/>
            <w:hideMark/>
          </w:tcPr>
          <w:p w14:paraId="56344DFA" w14:textId="77777777" w:rsidR="00147675" w:rsidRPr="00147675" w:rsidRDefault="00147675" w:rsidP="00147675">
            <w:r w:rsidRPr="00147675">
              <w:t>工业企业产成品库存同比、库存销售比、采购经理人指数 (PMI)</w:t>
            </w:r>
          </w:p>
        </w:tc>
        <w:tc>
          <w:tcPr>
            <w:tcW w:w="0" w:type="auto"/>
            <w:vAlign w:val="center"/>
            <w:hideMark/>
          </w:tcPr>
          <w:p w14:paraId="2FA04F94" w14:textId="77777777" w:rsidR="00147675" w:rsidRPr="00147675" w:rsidRDefault="00147675" w:rsidP="00147675">
            <w:r w:rsidRPr="00147675">
              <w:t>驱动短期经济波动和市场情绪，是战术择时和判断市场</w:t>
            </w:r>
            <w:proofErr w:type="gramStart"/>
            <w:r w:rsidRPr="00147675">
              <w:t>短期底顶的</w:t>
            </w:r>
            <w:proofErr w:type="gramEnd"/>
            <w:r w:rsidRPr="00147675">
              <w:t>关键。</w:t>
            </w:r>
          </w:p>
        </w:tc>
      </w:tr>
    </w:tbl>
    <w:p w14:paraId="5AE1D4ED" w14:textId="77777777" w:rsidR="00147675" w:rsidRPr="00147675" w:rsidRDefault="00147675" w:rsidP="00147675">
      <w:pPr>
        <w:rPr>
          <w:b/>
          <w:bCs/>
        </w:rPr>
      </w:pPr>
      <w:r w:rsidRPr="00147675">
        <w:rPr>
          <w:b/>
          <w:bCs/>
        </w:rPr>
        <w:t>1.3 长波的引擎：康德拉季耶夫周期各阶段的驱动力与特征</w:t>
      </w:r>
    </w:p>
    <w:p w14:paraId="24B273EC" w14:textId="77777777" w:rsidR="00147675" w:rsidRPr="00147675" w:rsidRDefault="00147675" w:rsidP="00147675">
      <w:r w:rsidRPr="00147675">
        <w:t xml:space="preserve">在四周期模型中，康波是居于顶层的“母周期”，其所处的不同阶段决定了全球经济的根本基调。周金涛将一个完整的康波划分为回升、繁荣、衰退、萧条四个阶段，这与西方经济学家常用的春、夏、秋、冬四季比喻相对应 。   </w:t>
      </w:r>
    </w:p>
    <w:p w14:paraId="6D15E6D2" w14:textId="77777777" w:rsidR="00147675" w:rsidRPr="00147675" w:rsidRDefault="00147675" w:rsidP="00147675">
      <w:pPr>
        <w:numPr>
          <w:ilvl w:val="0"/>
          <w:numId w:val="3"/>
        </w:numPr>
      </w:pPr>
      <w:r w:rsidRPr="00147675">
        <w:rPr>
          <w:b/>
          <w:bCs/>
        </w:rPr>
        <w:t>第一阶段：回升期 (Recovery / Spring)</w:t>
      </w:r>
      <w:r w:rsidRPr="00147675">
        <w:t xml:space="preserve"> 这是萧条期过后的复苏阶段。在萧条期中被孕育的新技术开始得到初步应用和推广 。此时，经济百废待兴，资本成本低廉，通货膨胀处于低位，企业和投资者行为谨慎。这是新一轮长波的“孕育期”和“播种期”，也是布局未来核心产业的黄金窗口。   </w:t>
      </w:r>
    </w:p>
    <w:p w14:paraId="7C44E811" w14:textId="77777777" w:rsidR="00147675" w:rsidRPr="00147675" w:rsidRDefault="00147675" w:rsidP="00147675">
      <w:pPr>
        <w:numPr>
          <w:ilvl w:val="0"/>
          <w:numId w:val="3"/>
        </w:numPr>
      </w:pPr>
      <w:r w:rsidRPr="00147675">
        <w:rPr>
          <w:b/>
          <w:bCs/>
        </w:rPr>
        <w:t>第二阶段：繁荣期 (Prosperity / Summer)</w:t>
      </w:r>
      <w:r w:rsidRPr="00147675">
        <w:t xml:space="preserve"> 这是康波的“黄金时代”。新技术得到广泛扩散，渗透到经济的各个角落，带来生产力的巨大飞跃和经济的强劲增长 。社会信心高涨，财富效应明显。周金涛认为，1991年至2004年是第五次康波的繁荣期，其标志性事件就是美国的信息技术革命和互联网泡沫 。繁荣期的后半段往往伴随着通胀和利率的上升，并可能在新技术领域催生巨大的投机泡沫 。   </w:t>
      </w:r>
    </w:p>
    <w:p w14:paraId="7A87D606" w14:textId="77777777" w:rsidR="00147675" w:rsidRPr="00147675" w:rsidRDefault="00147675" w:rsidP="00147675">
      <w:pPr>
        <w:numPr>
          <w:ilvl w:val="0"/>
          <w:numId w:val="3"/>
        </w:numPr>
      </w:pPr>
      <w:r w:rsidRPr="00147675">
        <w:rPr>
          <w:b/>
          <w:bCs/>
        </w:rPr>
        <w:t>第三阶段：衰退期 (Recession / Autumn)</w:t>
      </w:r>
      <w:r w:rsidRPr="00147675">
        <w:t xml:space="preserve"> 这是康波周期中最为复杂的阶段。经济增长开始放缓，但由于前期繁荣期积累的过剩流动性，资产价格依然可能被推高，导致实体经济与虚拟经济的背离，并反复出现滞胀（高通胀、低增长）和通缩的交替 。周金涛认为，从2004年到2015年，世界经济处于第五波康波的衰退期 。他特别指出，虽然实体经济表现平平，但这一阶段的资产价格波动剧烈，为投资者提供了巨大的获利机会，例如股市和债市在大的角度看依然是上升趋势 。更重要的是，他认为   </w:t>
      </w:r>
    </w:p>
    <w:p w14:paraId="482A9C24" w14:textId="77777777" w:rsidR="00147675" w:rsidRPr="00147675" w:rsidRDefault="00147675" w:rsidP="00147675">
      <w:r w:rsidRPr="00147675">
        <w:rPr>
          <w:b/>
          <w:bCs/>
        </w:rPr>
        <w:t>大宗商品的超级牛市正是在衰退期发生</w:t>
      </w:r>
      <w:r w:rsidRPr="00147675">
        <w:t xml:space="preserve"> 。   </w:t>
      </w:r>
    </w:p>
    <w:p w14:paraId="25B4E393" w14:textId="77777777" w:rsidR="00147675" w:rsidRPr="00147675" w:rsidRDefault="00147675" w:rsidP="00147675">
      <w:pPr>
        <w:numPr>
          <w:ilvl w:val="0"/>
          <w:numId w:val="3"/>
        </w:numPr>
      </w:pPr>
      <w:r w:rsidRPr="00147675">
        <w:rPr>
          <w:b/>
          <w:bCs/>
        </w:rPr>
        <w:lastRenderedPageBreak/>
        <w:t>第四阶段：萧条期 (Depression / Winter)</w:t>
      </w:r>
      <w:r w:rsidRPr="00147675">
        <w:t xml:space="preserve"> 这是长波的最终出清阶段。在这一时期，经济活动严重萎缩，资产价格全面下跌，债务被大规模清算，失业率高企 。这是一个痛苦的“创造性破坏”过程，旧的经济结构被摧毁，为下一轮技术革命的兴起扫清障碍 。周金涛在2016年明确判断，世界经济将从2015年之后步入长达十年的萧条期，并预言2019年将出现一个重要的资产价格低点 。他认为，当一个国家开始真正讨论“供给侧改革”时，往往意味着经济已经进入萧条阶段 。   </w:t>
      </w:r>
    </w:p>
    <w:p w14:paraId="278B57B8" w14:textId="77777777" w:rsidR="00147675" w:rsidRPr="00147675" w:rsidRDefault="00147675" w:rsidP="00147675">
      <w:pPr>
        <w:rPr>
          <w:b/>
          <w:bCs/>
        </w:rPr>
      </w:pPr>
      <w:r w:rsidRPr="00147675">
        <w:rPr>
          <w:b/>
          <w:bCs/>
        </w:rPr>
        <w:t>第二部分：宏观战略框架——从周期定位到资产配置</w:t>
      </w:r>
    </w:p>
    <w:p w14:paraId="27B0F51A" w14:textId="77777777" w:rsidR="00147675" w:rsidRPr="00147675" w:rsidRDefault="00147675" w:rsidP="00147675">
      <w:r w:rsidRPr="00147675">
        <w:t>将第一部分的理论转化为可操作的策略，核心在于回答两个问题：“我们现在处于周期的哪个位置？”以及“基于当前位置，我们应该持有何种资产？”。本部分旨在构建一个从宏观诊断到大类资产配置的战略框架。</w:t>
      </w:r>
    </w:p>
    <w:p w14:paraId="4AB7B652" w14:textId="77777777" w:rsidR="00147675" w:rsidRPr="00147675" w:rsidRDefault="00147675" w:rsidP="00147675">
      <w:pPr>
        <w:rPr>
          <w:b/>
          <w:bCs/>
        </w:rPr>
      </w:pPr>
      <w:r w:rsidRPr="00147675">
        <w:rPr>
          <w:b/>
          <w:bCs/>
        </w:rPr>
        <w:t>2.1 定位“当前坐标”：绘制全球周期地图</w:t>
      </w:r>
    </w:p>
    <w:p w14:paraId="04DA3365" w14:textId="77777777" w:rsidR="00147675" w:rsidRPr="00147675" w:rsidRDefault="00147675" w:rsidP="00147675">
      <w:r w:rsidRPr="00147675">
        <w:t>周金涛框架的第一步，也是</w:t>
      </w:r>
      <w:proofErr w:type="gramStart"/>
      <w:r w:rsidRPr="00147675">
        <w:t>最</w:t>
      </w:r>
      <w:proofErr w:type="gramEnd"/>
      <w:r w:rsidRPr="00147675">
        <w:t>关键的一步，是利用数据驱动的方法，精确识别当前四个嵌套周期分别处于何种阶段。这个诊断过程的输出，是一个清晰的“宏观周期仪表盘”。</w:t>
      </w:r>
    </w:p>
    <w:p w14:paraId="41F267BB" w14:textId="77777777" w:rsidR="00147675" w:rsidRPr="00147675" w:rsidRDefault="00147675" w:rsidP="00147675">
      <w:pPr>
        <w:numPr>
          <w:ilvl w:val="0"/>
          <w:numId w:val="4"/>
        </w:numPr>
      </w:pPr>
      <w:r w:rsidRPr="00147675">
        <w:rPr>
          <w:b/>
          <w:bCs/>
        </w:rPr>
        <w:t>康波周期阶段识别：</w:t>
      </w:r>
      <w:r w:rsidRPr="00147675">
        <w:t xml:space="preserve"> 这是一个长周期的定性与定量结合的判断。需要分析长达数十年的数据趋势，包括：</w:t>
      </w:r>
    </w:p>
    <w:p w14:paraId="0B825A10" w14:textId="77777777" w:rsidR="00147675" w:rsidRPr="00147675" w:rsidRDefault="00147675" w:rsidP="00147675">
      <w:pPr>
        <w:numPr>
          <w:ilvl w:val="1"/>
          <w:numId w:val="4"/>
        </w:numPr>
      </w:pPr>
      <w:r w:rsidRPr="00147675">
        <w:rPr>
          <w:b/>
          <w:bCs/>
        </w:rPr>
        <w:t>技术指标：</w:t>
      </w:r>
      <w:r w:rsidRPr="00147675">
        <w:t xml:space="preserve"> 关键通用技术（如互联网、人工智能）的渗透率曲线（S-curve），全要素生产率（TFP）的长期增速变化 。   </w:t>
      </w:r>
    </w:p>
    <w:p w14:paraId="22C5C539" w14:textId="77777777" w:rsidR="00147675" w:rsidRPr="00147675" w:rsidRDefault="00147675" w:rsidP="00147675">
      <w:pPr>
        <w:numPr>
          <w:ilvl w:val="1"/>
          <w:numId w:val="4"/>
        </w:numPr>
      </w:pPr>
      <w:r w:rsidRPr="00147675">
        <w:rPr>
          <w:b/>
          <w:bCs/>
        </w:rPr>
        <w:t>价格指标：</w:t>
      </w:r>
      <w:r w:rsidRPr="00147675">
        <w:t xml:space="preserve"> 长期（10年以上）的通货膨胀中枢和利率中枢的变动方向 。   </w:t>
      </w:r>
    </w:p>
    <w:p w14:paraId="182BD208" w14:textId="77777777" w:rsidR="00147675" w:rsidRPr="00147675" w:rsidRDefault="00147675" w:rsidP="00147675">
      <w:pPr>
        <w:numPr>
          <w:ilvl w:val="1"/>
          <w:numId w:val="4"/>
        </w:numPr>
      </w:pPr>
      <w:r w:rsidRPr="00147675">
        <w:rPr>
          <w:b/>
          <w:bCs/>
        </w:rPr>
        <w:t>金融指标：</w:t>
      </w:r>
      <w:r w:rsidRPr="00147675">
        <w:t xml:space="preserve"> 全球债务水平与GDP的比率，以及金融危机的性质和频率 。   </w:t>
      </w:r>
    </w:p>
    <w:p w14:paraId="64254AD4" w14:textId="77777777" w:rsidR="00147675" w:rsidRPr="00147675" w:rsidRDefault="00147675" w:rsidP="00147675">
      <w:pPr>
        <w:numPr>
          <w:ilvl w:val="0"/>
          <w:numId w:val="4"/>
        </w:numPr>
      </w:pPr>
      <w:r w:rsidRPr="00147675">
        <w:rPr>
          <w:b/>
          <w:bCs/>
        </w:rPr>
        <w:t>库兹涅茨/朱格拉/</w:t>
      </w:r>
      <w:proofErr w:type="gramStart"/>
      <w:r w:rsidRPr="00147675">
        <w:rPr>
          <w:b/>
          <w:bCs/>
        </w:rPr>
        <w:t>基钦周期</w:t>
      </w:r>
      <w:proofErr w:type="gramEnd"/>
      <w:r w:rsidRPr="00147675">
        <w:rPr>
          <w:b/>
          <w:bCs/>
        </w:rPr>
        <w:t>阶段识别：</w:t>
      </w:r>
      <w:r w:rsidRPr="00147675">
        <w:t xml:space="preserve"> 这部分判断更加依赖于标准的高频宏观经济数据，其方法论与主流的宏观研究类似。例如，华泰证券的一份深度报告就展示了如何应用周期理论进行实证分析，这与周金涛的思路一脉相承 。   </w:t>
      </w:r>
    </w:p>
    <w:p w14:paraId="05B4A3A0" w14:textId="77777777" w:rsidR="00147675" w:rsidRPr="00147675" w:rsidRDefault="00147675" w:rsidP="00147675">
      <w:pPr>
        <w:numPr>
          <w:ilvl w:val="1"/>
          <w:numId w:val="4"/>
        </w:numPr>
      </w:pPr>
      <w:proofErr w:type="gramStart"/>
      <w:r w:rsidRPr="00147675">
        <w:rPr>
          <w:b/>
          <w:bCs/>
        </w:rPr>
        <w:t>基钦周期</w:t>
      </w:r>
      <w:proofErr w:type="gramEnd"/>
      <w:r w:rsidRPr="00147675">
        <w:rPr>
          <w:b/>
          <w:bCs/>
        </w:rPr>
        <w:t>（库存周期）定位示例：</w:t>
      </w:r>
      <w:r w:rsidRPr="00147675">
        <w:t xml:space="preserve"> 可以构建一个由制造业PMI、工业增加值同比增速和工业企业产成品库存同比增速等指标构成的综合指数。当指数位于荣枯线之上且持续上升时，可判断为“主动补库存”的扩张前期；当指数从高位回落但仍在荣枯线之上时，为“被动补库存”的扩张后期；跌破荣枯线并持续下行，为“主动去库存”的收缩期；在底部企稳回升但仍在荣-</w:t>
      </w:r>
      <w:proofErr w:type="gramStart"/>
      <w:r w:rsidRPr="00147675">
        <w:t>枯线之下</w:t>
      </w:r>
      <w:proofErr w:type="gramEnd"/>
      <w:r w:rsidRPr="00147675">
        <w:t>，则为“被动去库存”的收缩后期。</w:t>
      </w:r>
    </w:p>
    <w:p w14:paraId="7DF5E738" w14:textId="77777777" w:rsidR="00147675" w:rsidRPr="00147675" w:rsidRDefault="00147675" w:rsidP="00147675">
      <w:pPr>
        <w:numPr>
          <w:ilvl w:val="1"/>
          <w:numId w:val="4"/>
        </w:numPr>
      </w:pPr>
      <w:r w:rsidRPr="00147675">
        <w:rPr>
          <w:b/>
          <w:bCs/>
        </w:rPr>
        <w:t>朱格拉周期（设备投资周期）定位示例：</w:t>
      </w:r>
      <w:r w:rsidRPr="00147675">
        <w:t xml:space="preserve"> 观察制造业固定资产投资完成额、中长期贷款增速、以及工业产能利用率等指标的长期趋势，通常一个完整的7-10年波动周期清晰可见。</w:t>
      </w:r>
    </w:p>
    <w:p w14:paraId="5DB45517" w14:textId="77777777" w:rsidR="00147675" w:rsidRPr="00147675" w:rsidRDefault="00147675" w:rsidP="00147675">
      <w:r w:rsidRPr="00147675">
        <w:t>通过以上分析，最终得出一个类似“康波：衰退后期/萧条初期；库兹涅茨周期：底部；朱格拉周期：下行期；基钦周期：上行期”的明确诊断，这将成为后续所有资产配置决策的逻辑起点。</w:t>
      </w:r>
    </w:p>
    <w:p w14:paraId="6A313609" w14:textId="77777777" w:rsidR="00147675" w:rsidRPr="00147675" w:rsidRDefault="00147675" w:rsidP="00147675">
      <w:pPr>
        <w:rPr>
          <w:b/>
          <w:bCs/>
        </w:rPr>
      </w:pPr>
      <w:r w:rsidRPr="00147675">
        <w:rPr>
          <w:b/>
          <w:bCs/>
        </w:rPr>
        <w:t>2.2 伟大的轮动：康波周期下的大类资产表现</w:t>
      </w:r>
    </w:p>
    <w:p w14:paraId="7CF2D992" w14:textId="77777777" w:rsidR="00147675" w:rsidRPr="00147675" w:rsidRDefault="00147675" w:rsidP="00147675">
      <w:r w:rsidRPr="00147675">
        <w:t>在确定了宏观周期的坐标后，下一步是根据周金涛的理论，进行长期的战略资产配置。不同的大类资产在康波的不同阶段，其表现天差地别。</w:t>
      </w:r>
    </w:p>
    <w:p w14:paraId="0B91C23C" w14:textId="77777777" w:rsidR="00147675" w:rsidRPr="00147675" w:rsidRDefault="00147675" w:rsidP="00147675">
      <w:pPr>
        <w:numPr>
          <w:ilvl w:val="0"/>
          <w:numId w:val="5"/>
        </w:numPr>
      </w:pPr>
      <w:r w:rsidRPr="00147675">
        <w:rPr>
          <w:b/>
          <w:bCs/>
        </w:rPr>
        <w:t>大宗商品：</w:t>
      </w:r>
      <w:r w:rsidRPr="00147675">
        <w:t xml:space="preserve"> 周金涛明确指出，大宗商品最波澜壮阔的牛市发生在康波的</w:t>
      </w:r>
      <w:r w:rsidRPr="00147675">
        <w:rPr>
          <w:b/>
          <w:bCs/>
        </w:rPr>
        <w:t>衰退期</w:t>
      </w:r>
      <w:r w:rsidRPr="00147675">
        <w:t xml:space="preserve"> 。这一阶段的滞胀环境为商品价格提供了最强劲的上涨动力。他因此判断，从2011年开始，商品将进入长达近20年的熊市，直到2030年附近才可能迎来下一次大机会。他还精准预测了2017-2019年商品价格将出现二次探底 。   </w:t>
      </w:r>
    </w:p>
    <w:p w14:paraId="71D52593" w14:textId="77777777" w:rsidR="00147675" w:rsidRPr="00147675" w:rsidRDefault="00147675" w:rsidP="00147675">
      <w:pPr>
        <w:numPr>
          <w:ilvl w:val="0"/>
          <w:numId w:val="5"/>
        </w:numPr>
      </w:pPr>
      <w:r w:rsidRPr="00147675">
        <w:rPr>
          <w:b/>
          <w:bCs/>
        </w:rPr>
        <w:t>房地产：</w:t>
      </w:r>
      <w:r w:rsidRPr="00147675">
        <w:t xml:space="preserve"> 房地产作为典型的长周期资产，其价格顶点通常出现在康波的</w:t>
      </w:r>
      <w:r w:rsidRPr="00147675">
        <w:rPr>
          <w:b/>
          <w:bCs/>
        </w:rPr>
        <w:t>繁荣期</w:t>
      </w:r>
      <w:r w:rsidRPr="00147675">
        <w:t>末尾，并在</w:t>
      </w:r>
      <w:r w:rsidRPr="00147675">
        <w:rPr>
          <w:b/>
          <w:bCs/>
        </w:rPr>
        <w:t>萧条期</w:t>
      </w:r>
      <w:r w:rsidRPr="00147675">
        <w:t xml:space="preserve">寻得最终底部。周金涛结合库兹涅茨周期进行更精确的定时，认为中国房地产在2014年见顶后，将在2019年迎来一个重要的买入低点 。   </w:t>
      </w:r>
    </w:p>
    <w:p w14:paraId="190F77EF" w14:textId="77777777" w:rsidR="00147675" w:rsidRPr="00147675" w:rsidRDefault="00147675" w:rsidP="00147675">
      <w:pPr>
        <w:numPr>
          <w:ilvl w:val="0"/>
          <w:numId w:val="5"/>
        </w:numPr>
      </w:pPr>
      <w:r w:rsidRPr="00147675">
        <w:rPr>
          <w:b/>
          <w:bCs/>
        </w:rPr>
        <w:lastRenderedPageBreak/>
        <w:t>股票：</w:t>
      </w:r>
      <w:r w:rsidRPr="00147675">
        <w:t xml:space="preserve"> 股市的最佳表现时期是</w:t>
      </w:r>
      <w:r w:rsidRPr="00147675">
        <w:rPr>
          <w:b/>
          <w:bCs/>
        </w:rPr>
        <w:t>回升期</w:t>
      </w:r>
      <w:r w:rsidRPr="00147675">
        <w:t>和</w:t>
      </w:r>
      <w:r w:rsidRPr="00147675">
        <w:rPr>
          <w:b/>
          <w:bCs/>
        </w:rPr>
        <w:t>繁荣期</w:t>
      </w:r>
      <w:r w:rsidRPr="00147675">
        <w:t xml:space="preserve">，此时新技术驱动的生产力提升和经济增长为企业盈利提供了坚实基础 。在   </w:t>
      </w:r>
    </w:p>
    <w:p w14:paraId="0178C54C" w14:textId="77777777" w:rsidR="00147675" w:rsidRPr="00147675" w:rsidRDefault="00147675" w:rsidP="00147675">
      <w:r w:rsidRPr="00147675">
        <w:rPr>
          <w:b/>
          <w:bCs/>
        </w:rPr>
        <w:t>衰退期</w:t>
      </w:r>
      <w:r w:rsidRPr="00147675">
        <w:t>，股市仍可能有显著上涨，但这更多是由流动性泛滥和投机情绪驱动的，而非基本</w:t>
      </w:r>
      <w:proofErr w:type="gramStart"/>
      <w:r w:rsidRPr="00147675">
        <w:t>面改善</w:t>
      </w:r>
      <w:proofErr w:type="gramEnd"/>
      <w:r w:rsidRPr="00147675">
        <w:t xml:space="preserve"> 。而   </w:t>
      </w:r>
    </w:p>
    <w:p w14:paraId="1135B44D" w14:textId="77777777" w:rsidR="00147675" w:rsidRPr="00147675" w:rsidRDefault="00147675" w:rsidP="00147675">
      <w:r w:rsidRPr="00147675">
        <w:rPr>
          <w:b/>
          <w:bCs/>
        </w:rPr>
        <w:t>萧条期</w:t>
      </w:r>
      <w:r w:rsidRPr="00147675">
        <w:t xml:space="preserve">则是长期熊市，其特征是资产价格的不断探底和价值毁灭，直到寻找到一个可以开启下一轮周期的“绝望低点” 。   </w:t>
      </w:r>
    </w:p>
    <w:p w14:paraId="5452B096" w14:textId="77777777" w:rsidR="00147675" w:rsidRPr="00147675" w:rsidRDefault="00147675" w:rsidP="00147675">
      <w:pPr>
        <w:numPr>
          <w:ilvl w:val="0"/>
          <w:numId w:val="5"/>
        </w:numPr>
      </w:pPr>
      <w:r w:rsidRPr="00147675">
        <w:rPr>
          <w:b/>
          <w:bCs/>
        </w:rPr>
        <w:t>债券/现金：</w:t>
      </w:r>
      <w:r w:rsidRPr="00147675">
        <w:t xml:space="preserve"> 在康波的</w:t>
      </w:r>
      <w:r w:rsidRPr="00147675">
        <w:rPr>
          <w:b/>
          <w:bCs/>
        </w:rPr>
        <w:t>萧条期</w:t>
      </w:r>
      <w:r w:rsidRPr="00147675">
        <w:t xml:space="preserve">，随着通货紧缩的出现和避险情绪的升温，高流动性的现金和高信用的主权债券成为最受青睐的资产。周金涛曾建议在2017-2019年的资产价格下跌期间，应尽可能持有流动性好的资产 。   </w:t>
      </w:r>
    </w:p>
    <w:p w14:paraId="034D3BD5" w14:textId="77777777" w:rsidR="00147675" w:rsidRPr="00147675" w:rsidRDefault="00147675" w:rsidP="00147675">
      <w:pPr>
        <w:numPr>
          <w:ilvl w:val="0"/>
          <w:numId w:val="5"/>
        </w:numPr>
      </w:pPr>
      <w:r w:rsidRPr="00147675">
        <w:rPr>
          <w:b/>
          <w:bCs/>
        </w:rPr>
        <w:t>黄金：</w:t>
      </w:r>
      <w:r w:rsidRPr="00147675">
        <w:t xml:space="preserve"> 黄金在周期转换期间，特别是</w:t>
      </w:r>
      <w:r w:rsidRPr="00147675">
        <w:rPr>
          <w:b/>
          <w:bCs/>
        </w:rPr>
        <w:t>衰退期</w:t>
      </w:r>
      <w:r w:rsidRPr="00147675">
        <w:t>和</w:t>
      </w:r>
      <w:r w:rsidRPr="00147675">
        <w:rPr>
          <w:b/>
          <w:bCs/>
        </w:rPr>
        <w:t>萧条期</w:t>
      </w:r>
      <w:r w:rsidRPr="00147675">
        <w:t>，扮演着对</w:t>
      </w:r>
      <w:proofErr w:type="gramStart"/>
      <w:r w:rsidRPr="00147675">
        <w:t>冲货币</w:t>
      </w:r>
      <w:proofErr w:type="gramEnd"/>
      <w:r w:rsidRPr="00147675">
        <w:t xml:space="preserve">信用贬值和地缘政治风险的角色 。当主导国货币面临贬值压力时，黄金的价值凸显。   </w:t>
      </w:r>
    </w:p>
    <w:p w14:paraId="44FD0131" w14:textId="77777777" w:rsidR="00147675" w:rsidRPr="00147675" w:rsidRDefault="00147675" w:rsidP="00147675">
      <w:r w:rsidRPr="00147675">
        <w:rPr>
          <w:b/>
          <w:bCs/>
        </w:rPr>
        <w:t>表2：康德拉季耶夫周期各阶段的大类资产表现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835"/>
        <w:gridCol w:w="1946"/>
        <w:gridCol w:w="2152"/>
        <w:gridCol w:w="1862"/>
      </w:tblGrid>
      <w:tr w:rsidR="00147675" w:rsidRPr="00147675" w14:paraId="6CC1BECF" w14:textId="77777777" w:rsidTr="00147675">
        <w:trPr>
          <w:tblHeader/>
          <w:tblCellSpacing w:w="15" w:type="dxa"/>
        </w:trPr>
        <w:tc>
          <w:tcPr>
            <w:tcW w:w="0" w:type="auto"/>
            <w:vAlign w:val="center"/>
            <w:hideMark/>
          </w:tcPr>
          <w:p w14:paraId="39239217" w14:textId="77777777" w:rsidR="00147675" w:rsidRPr="00147675" w:rsidRDefault="00147675" w:rsidP="00147675">
            <w:r w:rsidRPr="00147675">
              <w:t>资产类别</w:t>
            </w:r>
          </w:p>
        </w:tc>
        <w:tc>
          <w:tcPr>
            <w:tcW w:w="0" w:type="auto"/>
            <w:vAlign w:val="center"/>
            <w:hideMark/>
          </w:tcPr>
          <w:p w14:paraId="24A84C4E" w14:textId="77777777" w:rsidR="00147675" w:rsidRPr="00147675" w:rsidRDefault="00147675" w:rsidP="00147675">
            <w:r w:rsidRPr="00147675">
              <w:t>回升期 (Spring)</w:t>
            </w:r>
          </w:p>
        </w:tc>
        <w:tc>
          <w:tcPr>
            <w:tcW w:w="0" w:type="auto"/>
            <w:vAlign w:val="center"/>
            <w:hideMark/>
          </w:tcPr>
          <w:p w14:paraId="67841EE8" w14:textId="77777777" w:rsidR="00147675" w:rsidRPr="00147675" w:rsidRDefault="00147675" w:rsidP="00147675">
            <w:r w:rsidRPr="00147675">
              <w:t>繁荣期 (Summer)</w:t>
            </w:r>
          </w:p>
        </w:tc>
        <w:tc>
          <w:tcPr>
            <w:tcW w:w="0" w:type="auto"/>
            <w:vAlign w:val="center"/>
            <w:hideMark/>
          </w:tcPr>
          <w:p w14:paraId="52A28A90" w14:textId="77777777" w:rsidR="00147675" w:rsidRPr="00147675" w:rsidRDefault="00147675" w:rsidP="00147675">
            <w:r w:rsidRPr="00147675">
              <w:t>衰退期 (Autumn)</w:t>
            </w:r>
          </w:p>
        </w:tc>
        <w:tc>
          <w:tcPr>
            <w:tcW w:w="0" w:type="auto"/>
            <w:vAlign w:val="center"/>
            <w:hideMark/>
          </w:tcPr>
          <w:p w14:paraId="40AA9FD0" w14:textId="77777777" w:rsidR="00147675" w:rsidRPr="00147675" w:rsidRDefault="00147675" w:rsidP="00147675">
            <w:r w:rsidRPr="00147675">
              <w:t>萧条期 (Winter)</w:t>
            </w:r>
          </w:p>
        </w:tc>
      </w:tr>
      <w:tr w:rsidR="00147675" w:rsidRPr="00147675" w14:paraId="71F7E545" w14:textId="77777777" w:rsidTr="00147675">
        <w:trPr>
          <w:tblCellSpacing w:w="15" w:type="dxa"/>
        </w:trPr>
        <w:tc>
          <w:tcPr>
            <w:tcW w:w="0" w:type="auto"/>
            <w:vAlign w:val="center"/>
            <w:hideMark/>
          </w:tcPr>
          <w:p w14:paraId="5FC1F9A4" w14:textId="77777777" w:rsidR="00147675" w:rsidRPr="00147675" w:rsidRDefault="00147675" w:rsidP="00147675">
            <w:r w:rsidRPr="00147675">
              <w:rPr>
                <w:b/>
                <w:bCs/>
              </w:rPr>
              <w:t>股票</w:t>
            </w:r>
          </w:p>
        </w:tc>
        <w:tc>
          <w:tcPr>
            <w:tcW w:w="0" w:type="auto"/>
            <w:vAlign w:val="center"/>
            <w:hideMark/>
          </w:tcPr>
          <w:p w14:paraId="2F92FEE4" w14:textId="77777777" w:rsidR="00147675" w:rsidRPr="00147675" w:rsidRDefault="00147675" w:rsidP="00147675">
            <w:r w:rsidRPr="00147675">
              <w:rPr>
                <w:b/>
                <w:bCs/>
              </w:rPr>
              <w:t>◎ 优于大市</w:t>
            </w:r>
            <w:r w:rsidRPr="00147675">
              <w:t xml:space="preserve"> (新技术萌芽，估值修复)</w:t>
            </w:r>
          </w:p>
        </w:tc>
        <w:tc>
          <w:tcPr>
            <w:tcW w:w="0" w:type="auto"/>
            <w:vAlign w:val="center"/>
            <w:hideMark/>
          </w:tcPr>
          <w:p w14:paraId="35494366" w14:textId="77777777" w:rsidR="00147675" w:rsidRPr="00147675" w:rsidRDefault="00147675" w:rsidP="00147675">
            <w:r w:rsidRPr="00147675">
              <w:rPr>
                <w:b/>
                <w:bCs/>
              </w:rPr>
              <w:t>◎ 优于大市</w:t>
            </w:r>
            <w:r w:rsidRPr="00147675">
              <w:t xml:space="preserve"> (盈利驱动，全面牛市)</w:t>
            </w:r>
          </w:p>
        </w:tc>
        <w:tc>
          <w:tcPr>
            <w:tcW w:w="0" w:type="auto"/>
            <w:vAlign w:val="center"/>
            <w:hideMark/>
          </w:tcPr>
          <w:p w14:paraId="56AB8056" w14:textId="77777777" w:rsidR="00147675" w:rsidRPr="00147675" w:rsidRDefault="00147675" w:rsidP="00147675">
            <w:r w:rsidRPr="00147675">
              <w:rPr>
                <w:b/>
                <w:bCs/>
              </w:rPr>
              <w:t>○ 中性</w:t>
            </w:r>
            <w:r w:rsidRPr="00147675">
              <w:t xml:space="preserve"> (流动性驱动，结构性行情)</w:t>
            </w:r>
          </w:p>
        </w:tc>
        <w:tc>
          <w:tcPr>
            <w:tcW w:w="0" w:type="auto"/>
            <w:vAlign w:val="center"/>
            <w:hideMark/>
          </w:tcPr>
          <w:p w14:paraId="0C674CBF" w14:textId="77777777" w:rsidR="00147675" w:rsidRPr="00147675" w:rsidRDefault="00147675" w:rsidP="00147675">
            <w:r w:rsidRPr="00147675">
              <w:rPr>
                <w:b/>
                <w:bCs/>
              </w:rPr>
              <w:t>● 弱于大市</w:t>
            </w:r>
            <w:r w:rsidRPr="00147675">
              <w:t xml:space="preserve"> (估值盈利双杀，长期熊市)</w:t>
            </w:r>
          </w:p>
        </w:tc>
      </w:tr>
      <w:tr w:rsidR="00147675" w:rsidRPr="00147675" w14:paraId="76CF86CB" w14:textId="77777777" w:rsidTr="00147675">
        <w:trPr>
          <w:tblCellSpacing w:w="15" w:type="dxa"/>
        </w:trPr>
        <w:tc>
          <w:tcPr>
            <w:tcW w:w="0" w:type="auto"/>
            <w:vAlign w:val="center"/>
            <w:hideMark/>
          </w:tcPr>
          <w:p w14:paraId="4E237683" w14:textId="77777777" w:rsidR="00147675" w:rsidRPr="00147675" w:rsidRDefault="00147675" w:rsidP="00147675">
            <w:r w:rsidRPr="00147675">
              <w:rPr>
                <w:b/>
                <w:bCs/>
              </w:rPr>
              <w:t>债券</w:t>
            </w:r>
          </w:p>
        </w:tc>
        <w:tc>
          <w:tcPr>
            <w:tcW w:w="0" w:type="auto"/>
            <w:vAlign w:val="center"/>
            <w:hideMark/>
          </w:tcPr>
          <w:p w14:paraId="41864F8A" w14:textId="77777777" w:rsidR="00147675" w:rsidRPr="00147675" w:rsidRDefault="00147675" w:rsidP="00147675">
            <w:r w:rsidRPr="00147675">
              <w:rPr>
                <w:b/>
                <w:bCs/>
              </w:rPr>
              <w:t>○ 中性</w:t>
            </w:r>
            <w:r w:rsidRPr="00147675">
              <w:t xml:space="preserve"> (利率温和上行)</w:t>
            </w:r>
          </w:p>
        </w:tc>
        <w:tc>
          <w:tcPr>
            <w:tcW w:w="0" w:type="auto"/>
            <w:vAlign w:val="center"/>
            <w:hideMark/>
          </w:tcPr>
          <w:p w14:paraId="58A633B4" w14:textId="77777777" w:rsidR="00147675" w:rsidRPr="00147675" w:rsidRDefault="00147675" w:rsidP="00147675">
            <w:r w:rsidRPr="00147675">
              <w:rPr>
                <w:b/>
                <w:bCs/>
              </w:rPr>
              <w:t>● 弱于大市</w:t>
            </w:r>
            <w:r w:rsidRPr="00147675">
              <w:t xml:space="preserve"> (利率上升，通胀压力)</w:t>
            </w:r>
          </w:p>
        </w:tc>
        <w:tc>
          <w:tcPr>
            <w:tcW w:w="0" w:type="auto"/>
            <w:vAlign w:val="center"/>
            <w:hideMark/>
          </w:tcPr>
          <w:p w14:paraId="7B1A60AC" w14:textId="77777777" w:rsidR="00147675" w:rsidRPr="00147675" w:rsidRDefault="00147675" w:rsidP="00147675">
            <w:r w:rsidRPr="00147675">
              <w:rPr>
                <w:b/>
                <w:bCs/>
              </w:rPr>
              <w:t>○ 中性/◎ 优于大市</w:t>
            </w:r>
            <w:r w:rsidRPr="00147675">
              <w:t xml:space="preserve"> (经济放缓，避险需求)</w:t>
            </w:r>
          </w:p>
        </w:tc>
        <w:tc>
          <w:tcPr>
            <w:tcW w:w="0" w:type="auto"/>
            <w:vAlign w:val="center"/>
            <w:hideMark/>
          </w:tcPr>
          <w:p w14:paraId="3DFB8FFC" w14:textId="77777777" w:rsidR="00147675" w:rsidRPr="00147675" w:rsidRDefault="00147675" w:rsidP="00147675">
            <w:r w:rsidRPr="00147675">
              <w:rPr>
                <w:b/>
                <w:bCs/>
              </w:rPr>
              <w:t>◎ 优于大市</w:t>
            </w:r>
            <w:r w:rsidRPr="00147675">
              <w:t xml:space="preserve"> (通缩，降息周期，避风港)</w:t>
            </w:r>
          </w:p>
        </w:tc>
      </w:tr>
      <w:tr w:rsidR="00147675" w:rsidRPr="00147675" w14:paraId="55B92CE1" w14:textId="77777777" w:rsidTr="00147675">
        <w:trPr>
          <w:tblCellSpacing w:w="15" w:type="dxa"/>
        </w:trPr>
        <w:tc>
          <w:tcPr>
            <w:tcW w:w="0" w:type="auto"/>
            <w:vAlign w:val="center"/>
            <w:hideMark/>
          </w:tcPr>
          <w:p w14:paraId="12730832" w14:textId="77777777" w:rsidR="00147675" w:rsidRPr="00147675" w:rsidRDefault="00147675" w:rsidP="00147675">
            <w:r w:rsidRPr="00147675">
              <w:rPr>
                <w:b/>
                <w:bCs/>
              </w:rPr>
              <w:t>大宗商品</w:t>
            </w:r>
          </w:p>
        </w:tc>
        <w:tc>
          <w:tcPr>
            <w:tcW w:w="0" w:type="auto"/>
            <w:vAlign w:val="center"/>
            <w:hideMark/>
          </w:tcPr>
          <w:p w14:paraId="620E0FBF" w14:textId="77777777" w:rsidR="00147675" w:rsidRPr="00147675" w:rsidRDefault="00147675" w:rsidP="00147675">
            <w:r w:rsidRPr="00147675">
              <w:rPr>
                <w:b/>
                <w:bCs/>
              </w:rPr>
              <w:t>● 弱于大市</w:t>
            </w:r>
            <w:r w:rsidRPr="00147675">
              <w:t xml:space="preserve"> (需求温和，价格平稳)</w:t>
            </w:r>
          </w:p>
        </w:tc>
        <w:tc>
          <w:tcPr>
            <w:tcW w:w="0" w:type="auto"/>
            <w:vAlign w:val="center"/>
            <w:hideMark/>
          </w:tcPr>
          <w:p w14:paraId="507F0B52" w14:textId="77777777" w:rsidR="00147675" w:rsidRPr="00147675" w:rsidRDefault="00147675" w:rsidP="00147675">
            <w:r w:rsidRPr="00147675">
              <w:rPr>
                <w:b/>
                <w:bCs/>
              </w:rPr>
              <w:t>○ 中性</w:t>
            </w:r>
            <w:r w:rsidRPr="00147675">
              <w:t xml:space="preserve"> (需求旺盛，但供给增加)</w:t>
            </w:r>
          </w:p>
        </w:tc>
        <w:tc>
          <w:tcPr>
            <w:tcW w:w="0" w:type="auto"/>
            <w:vAlign w:val="center"/>
            <w:hideMark/>
          </w:tcPr>
          <w:p w14:paraId="34E22913" w14:textId="77777777" w:rsidR="00147675" w:rsidRPr="00147675" w:rsidRDefault="00147675" w:rsidP="00147675">
            <w:r w:rsidRPr="00147675">
              <w:rPr>
                <w:b/>
                <w:bCs/>
              </w:rPr>
              <w:t>◎ 优于大市</w:t>
            </w:r>
            <w:r w:rsidRPr="00147675">
              <w:t xml:space="preserve"> (滞胀环境，供给瓶颈，超级牛市)</w:t>
            </w:r>
          </w:p>
        </w:tc>
        <w:tc>
          <w:tcPr>
            <w:tcW w:w="0" w:type="auto"/>
            <w:vAlign w:val="center"/>
            <w:hideMark/>
          </w:tcPr>
          <w:p w14:paraId="634E8109" w14:textId="77777777" w:rsidR="00147675" w:rsidRPr="00147675" w:rsidRDefault="00147675" w:rsidP="00147675">
            <w:r w:rsidRPr="00147675">
              <w:rPr>
                <w:b/>
                <w:bCs/>
              </w:rPr>
              <w:t>● 弱于大市</w:t>
            </w:r>
            <w:r w:rsidRPr="00147675">
              <w:t xml:space="preserve"> (需求萎缩，长期熊市)</w:t>
            </w:r>
          </w:p>
        </w:tc>
      </w:tr>
      <w:tr w:rsidR="00147675" w:rsidRPr="00147675" w14:paraId="35A8964B" w14:textId="77777777" w:rsidTr="00147675">
        <w:trPr>
          <w:tblCellSpacing w:w="15" w:type="dxa"/>
        </w:trPr>
        <w:tc>
          <w:tcPr>
            <w:tcW w:w="0" w:type="auto"/>
            <w:vAlign w:val="center"/>
            <w:hideMark/>
          </w:tcPr>
          <w:p w14:paraId="3BFBA22F" w14:textId="77777777" w:rsidR="00147675" w:rsidRPr="00147675" w:rsidRDefault="00147675" w:rsidP="00147675">
            <w:r w:rsidRPr="00147675">
              <w:rPr>
                <w:b/>
                <w:bCs/>
              </w:rPr>
              <w:t>房地产</w:t>
            </w:r>
          </w:p>
        </w:tc>
        <w:tc>
          <w:tcPr>
            <w:tcW w:w="0" w:type="auto"/>
            <w:vAlign w:val="center"/>
            <w:hideMark/>
          </w:tcPr>
          <w:p w14:paraId="3F89B4E0" w14:textId="77777777" w:rsidR="00147675" w:rsidRPr="00147675" w:rsidRDefault="00147675" w:rsidP="00147675">
            <w:r w:rsidRPr="00147675">
              <w:rPr>
                <w:b/>
                <w:bCs/>
              </w:rPr>
              <w:t>◎ 优于大市</w:t>
            </w:r>
            <w:r w:rsidRPr="00147675">
              <w:t xml:space="preserve"> (需求复苏，开启上行周期)</w:t>
            </w:r>
          </w:p>
        </w:tc>
        <w:tc>
          <w:tcPr>
            <w:tcW w:w="0" w:type="auto"/>
            <w:vAlign w:val="center"/>
            <w:hideMark/>
          </w:tcPr>
          <w:p w14:paraId="20ECBA03" w14:textId="77777777" w:rsidR="00147675" w:rsidRPr="00147675" w:rsidRDefault="00147675" w:rsidP="00147675">
            <w:r w:rsidRPr="00147675">
              <w:rPr>
                <w:b/>
                <w:bCs/>
              </w:rPr>
              <w:t>◎ 优于大市</w:t>
            </w:r>
            <w:r w:rsidRPr="00147675">
              <w:t xml:space="preserve"> (价格加速上涨，周期见顶)</w:t>
            </w:r>
          </w:p>
        </w:tc>
        <w:tc>
          <w:tcPr>
            <w:tcW w:w="0" w:type="auto"/>
            <w:vAlign w:val="center"/>
            <w:hideMark/>
          </w:tcPr>
          <w:p w14:paraId="34A8C741" w14:textId="77777777" w:rsidR="00147675" w:rsidRPr="00147675" w:rsidRDefault="00147675" w:rsidP="00147675">
            <w:r w:rsidRPr="00147675">
              <w:rPr>
                <w:b/>
                <w:bCs/>
              </w:rPr>
              <w:t>● 弱于大市</w:t>
            </w:r>
            <w:r w:rsidRPr="00147675">
              <w:t xml:space="preserve"> (价格见顶回落)</w:t>
            </w:r>
          </w:p>
        </w:tc>
        <w:tc>
          <w:tcPr>
            <w:tcW w:w="0" w:type="auto"/>
            <w:vAlign w:val="center"/>
            <w:hideMark/>
          </w:tcPr>
          <w:p w14:paraId="49F0CB00" w14:textId="77777777" w:rsidR="00147675" w:rsidRPr="00147675" w:rsidRDefault="00147675" w:rsidP="00147675">
            <w:r w:rsidRPr="00147675">
              <w:rPr>
                <w:b/>
                <w:bCs/>
              </w:rPr>
              <w:t>● 弱于大市</w:t>
            </w:r>
            <w:r w:rsidRPr="00147675">
              <w:t xml:space="preserve"> (价格加速下跌，周期见底)</w:t>
            </w:r>
          </w:p>
        </w:tc>
      </w:tr>
      <w:tr w:rsidR="00147675" w:rsidRPr="00147675" w14:paraId="486A1FFD" w14:textId="77777777" w:rsidTr="00147675">
        <w:trPr>
          <w:tblCellSpacing w:w="15" w:type="dxa"/>
        </w:trPr>
        <w:tc>
          <w:tcPr>
            <w:tcW w:w="0" w:type="auto"/>
            <w:vAlign w:val="center"/>
            <w:hideMark/>
          </w:tcPr>
          <w:p w14:paraId="1F9A862D" w14:textId="77777777" w:rsidR="00147675" w:rsidRPr="00147675" w:rsidRDefault="00147675" w:rsidP="00147675">
            <w:r w:rsidRPr="00147675">
              <w:rPr>
                <w:b/>
                <w:bCs/>
              </w:rPr>
              <w:t>黄金</w:t>
            </w:r>
          </w:p>
        </w:tc>
        <w:tc>
          <w:tcPr>
            <w:tcW w:w="0" w:type="auto"/>
            <w:vAlign w:val="center"/>
            <w:hideMark/>
          </w:tcPr>
          <w:p w14:paraId="061A3867" w14:textId="77777777" w:rsidR="00147675" w:rsidRPr="00147675" w:rsidRDefault="00147675" w:rsidP="00147675">
            <w:r w:rsidRPr="00147675">
              <w:rPr>
                <w:b/>
                <w:bCs/>
              </w:rPr>
              <w:t>○ 中性</w:t>
            </w:r>
          </w:p>
        </w:tc>
        <w:tc>
          <w:tcPr>
            <w:tcW w:w="0" w:type="auto"/>
            <w:vAlign w:val="center"/>
            <w:hideMark/>
          </w:tcPr>
          <w:p w14:paraId="36F288E8" w14:textId="77777777" w:rsidR="00147675" w:rsidRPr="00147675" w:rsidRDefault="00147675" w:rsidP="00147675">
            <w:r w:rsidRPr="00147675">
              <w:rPr>
                <w:b/>
                <w:bCs/>
              </w:rPr>
              <w:t>○ 中性</w:t>
            </w:r>
          </w:p>
        </w:tc>
        <w:tc>
          <w:tcPr>
            <w:tcW w:w="0" w:type="auto"/>
            <w:vAlign w:val="center"/>
            <w:hideMark/>
          </w:tcPr>
          <w:p w14:paraId="117AFCAF" w14:textId="77777777" w:rsidR="00147675" w:rsidRPr="00147675" w:rsidRDefault="00147675" w:rsidP="00147675">
            <w:r w:rsidRPr="00147675">
              <w:rPr>
                <w:b/>
                <w:bCs/>
              </w:rPr>
              <w:t>◎ 优于大市</w:t>
            </w:r>
            <w:r w:rsidRPr="00147675">
              <w:t xml:space="preserve"> (对冲滞胀和货币风险)</w:t>
            </w:r>
          </w:p>
        </w:tc>
        <w:tc>
          <w:tcPr>
            <w:tcW w:w="0" w:type="auto"/>
            <w:vAlign w:val="center"/>
            <w:hideMark/>
          </w:tcPr>
          <w:p w14:paraId="363C753B" w14:textId="77777777" w:rsidR="00147675" w:rsidRPr="00147675" w:rsidRDefault="00147675" w:rsidP="00147675">
            <w:r w:rsidRPr="00147675">
              <w:rPr>
                <w:b/>
                <w:bCs/>
              </w:rPr>
              <w:t>◎ 优于大市</w:t>
            </w:r>
            <w:r w:rsidRPr="00147675">
              <w:t xml:space="preserve"> (对冲萧条和信用危机)</w:t>
            </w:r>
          </w:p>
        </w:tc>
      </w:tr>
      <w:tr w:rsidR="00147675" w:rsidRPr="00147675" w14:paraId="1DA1AB65" w14:textId="77777777" w:rsidTr="00147675">
        <w:trPr>
          <w:tblCellSpacing w:w="15" w:type="dxa"/>
        </w:trPr>
        <w:tc>
          <w:tcPr>
            <w:tcW w:w="0" w:type="auto"/>
            <w:vAlign w:val="center"/>
            <w:hideMark/>
          </w:tcPr>
          <w:p w14:paraId="2A5A18A9" w14:textId="77777777" w:rsidR="00147675" w:rsidRPr="00147675" w:rsidRDefault="00147675" w:rsidP="00147675">
            <w:r w:rsidRPr="00147675">
              <w:rPr>
                <w:b/>
                <w:bCs/>
              </w:rPr>
              <w:t>现金</w:t>
            </w:r>
          </w:p>
        </w:tc>
        <w:tc>
          <w:tcPr>
            <w:tcW w:w="0" w:type="auto"/>
            <w:vAlign w:val="center"/>
            <w:hideMark/>
          </w:tcPr>
          <w:p w14:paraId="5D70C683" w14:textId="77777777" w:rsidR="00147675" w:rsidRPr="00147675" w:rsidRDefault="00147675" w:rsidP="00147675">
            <w:r w:rsidRPr="00147675">
              <w:rPr>
                <w:b/>
                <w:bCs/>
              </w:rPr>
              <w:t>● 弱于大市</w:t>
            </w:r>
            <w:r w:rsidRPr="00147675">
              <w:t xml:space="preserve"> (机会成本高)</w:t>
            </w:r>
          </w:p>
        </w:tc>
        <w:tc>
          <w:tcPr>
            <w:tcW w:w="0" w:type="auto"/>
            <w:vAlign w:val="center"/>
            <w:hideMark/>
          </w:tcPr>
          <w:p w14:paraId="4A7C757E" w14:textId="77777777" w:rsidR="00147675" w:rsidRPr="00147675" w:rsidRDefault="00147675" w:rsidP="00147675">
            <w:r w:rsidRPr="00147675">
              <w:rPr>
                <w:b/>
                <w:bCs/>
              </w:rPr>
              <w:t>● 弱于大市</w:t>
            </w:r>
            <w:r w:rsidRPr="00147675">
              <w:t xml:space="preserve"> (通胀侵蚀购买力)</w:t>
            </w:r>
          </w:p>
        </w:tc>
        <w:tc>
          <w:tcPr>
            <w:tcW w:w="0" w:type="auto"/>
            <w:vAlign w:val="center"/>
            <w:hideMark/>
          </w:tcPr>
          <w:p w14:paraId="23B43DD0" w14:textId="77777777" w:rsidR="00147675" w:rsidRPr="00147675" w:rsidRDefault="00147675" w:rsidP="00147675">
            <w:r w:rsidRPr="00147675">
              <w:rPr>
                <w:b/>
                <w:bCs/>
              </w:rPr>
              <w:t>○ 中性</w:t>
            </w:r>
            <w:r w:rsidRPr="00147675">
              <w:t xml:space="preserve"> (流动性价值开始体现)</w:t>
            </w:r>
          </w:p>
        </w:tc>
        <w:tc>
          <w:tcPr>
            <w:tcW w:w="0" w:type="auto"/>
            <w:vAlign w:val="center"/>
            <w:hideMark/>
          </w:tcPr>
          <w:p w14:paraId="54B422A3" w14:textId="77777777" w:rsidR="00147675" w:rsidRPr="00147675" w:rsidRDefault="00147675" w:rsidP="00147675">
            <w:r w:rsidRPr="00147675">
              <w:rPr>
                <w:b/>
                <w:bCs/>
              </w:rPr>
              <w:t>◎ 优于大市</w:t>
            </w:r>
            <w:r w:rsidRPr="00147675">
              <w:t xml:space="preserve"> (流动性为王，购买力上升)</w:t>
            </w:r>
          </w:p>
        </w:tc>
      </w:tr>
    </w:tbl>
    <w:p w14:paraId="5E3915E9" w14:textId="77777777" w:rsidR="00147675" w:rsidRPr="00147675" w:rsidRDefault="00147675" w:rsidP="00147675">
      <w:r w:rsidRPr="00147675">
        <w:t>Export to Sheets</w:t>
      </w:r>
    </w:p>
    <w:p w14:paraId="4F0A6BC7" w14:textId="77777777" w:rsidR="00147675" w:rsidRPr="00147675" w:rsidRDefault="00147675" w:rsidP="00147675">
      <w:r w:rsidRPr="00147675">
        <w:rPr>
          <w:i/>
          <w:iCs/>
        </w:rPr>
        <w:t>图例: ◎ 优于大市, ○ 中性, ● 弱于大市</w:t>
      </w:r>
    </w:p>
    <w:p w14:paraId="5DD58CDB" w14:textId="77777777" w:rsidR="00147675" w:rsidRPr="00147675" w:rsidRDefault="00147675" w:rsidP="00147675">
      <w:pPr>
        <w:rPr>
          <w:b/>
          <w:bCs/>
        </w:rPr>
      </w:pPr>
      <w:r w:rsidRPr="00147675">
        <w:rPr>
          <w:b/>
          <w:bCs/>
        </w:rPr>
        <w:t>2.3 驾驭短波：基于商业周期的行业轮动模型</w:t>
      </w:r>
    </w:p>
    <w:p w14:paraId="6489860C" w14:textId="77777777" w:rsidR="00147675" w:rsidRPr="00147675" w:rsidRDefault="00147675" w:rsidP="00147675">
      <w:r w:rsidRPr="00147675">
        <w:t>从大类资产下沉到具体的股票行业，需要使用颗粒度更细的朱格拉周期和</w:t>
      </w:r>
      <w:proofErr w:type="gramStart"/>
      <w:r w:rsidRPr="00147675">
        <w:t>基钦</w:t>
      </w:r>
      <w:proofErr w:type="gramEnd"/>
      <w:r w:rsidRPr="00147675">
        <w:t>周期作为定时工具。华泰证券的一系列研究报告，为我们提供了一个将周期理论应用于A</w:t>
      </w:r>
      <w:proofErr w:type="gramStart"/>
      <w:r w:rsidRPr="00147675">
        <w:t>股行业轮</w:t>
      </w:r>
      <w:proofErr w:type="gramEnd"/>
      <w:r w:rsidRPr="00147675">
        <w:t xml:space="preserve">动的优秀范本 。该模型将短周期划分为四个经典阶段，并指出了各阶段的优势行业。   </w:t>
      </w:r>
    </w:p>
    <w:p w14:paraId="0AE8680F" w14:textId="77777777" w:rsidR="00147675" w:rsidRPr="00147675" w:rsidRDefault="00147675" w:rsidP="00147675">
      <w:pPr>
        <w:numPr>
          <w:ilvl w:val="0"/>
          <w:numId w:val="6"/>
        </w:numPr>
      </w:pPr>
      <w:r w:rsidRPr="00147675">
        <w:rPr>
          <w:b/>
          <w:bCs/>
        </w:rPr>
        <w:t>复苏期 (Recovery):</w:t>
      </w:r>
      <w:r w:rsidRPr="00147675">
        <w:t xml:space="preserve"> 经济增长加速，通胀水平较低。</w:t>
      </w:r>
    </w:p>
    <w:p w14:paraId="10ECB7EE" w14:textId="77777777" w:rsidR="00147675" w:rsidRPr="00147675" w:rsidRDefault="00147675" w:rsidP="00147675">
      <w:pPr>
        <w:numPr>
          <w:ilvl w:val="1"/>
          <w:numId w:val="6"/>
        </w:numPr>
      </w:pPr>
      <w:r w:rsidRPr="00147675">
        <w:rPr>
          <w:b/>
          <w:bCs/>
        </w:rPr>
        <w:t>逻辑：</w:t>
      </w:r>
      <w:r w:rsidRPr="00147675">
        <w:t xml:space="preserve"> 经济见底回升，利率处于低位，企业盈利预期改善，市场风险偏好提升。这是典型的“盈利驱动”和“估值修复”双击阶段。</w:t>
      </w:r>
    </w:p>
    <w:p w14:paraId="6458ECF1" w14:textId="77777777" w:rsidR="00147675" w:rsidRPr="00147675" w:rsidRDefault="00147675" w:rsidP="00147675">
      <w:pPr>
        <w:numPr>
          <w:ilvl w:val="1"/>
          <w:numId w:val="6"/>
        </w:numPr>
      </w:pPr>
      <w:r w:rsidRPr="00147675">
        <w:rPr>
          <w:b/>
          <w:bCs/>
        </w:rPr>
        <w:t>优势行业：</w:t>
      </w:r>
      <w:r w:rsidRPr="00147675">
        <w:t xml:space="preserve"> 对利率和经济活动敏感的</w:t>
      </w:r>
      <w:r w:rsidRPr="00147675">
        <w:rPr>
          <w:b/>
          <w:bCs/>
        </w:rPr>
        <w:t>金融</w:t>
      </w:r>
      <w:r w:rsidRPr="00147675">
        <w:t>（银行、券商）、以及受益于投资回暖的</w:t>
      </w:r>
      <w:r w:rsidRPr="00147675">
        <w:rPr>
          <w:b/>
          <w:bCs/>
        </w:rPr>
        <w:t>周期中游</w:t>
      </w:r>
      <w:r w:rsidRPr="00147675">
        <w:t>（机械、建材）和</w:t>
      </w:r>
      <w:r w:rsidRPr="00147675">
        <w:rPr>
          <w:b/>
          <w:bCs/>
        </w:rPr>
        <w:t>周期下游</w:t>
      </w:r>
      <w:r w:rsidRPr="00147675">
        <w:t xml:space="preserve">（汽车、家电）等价值型周期股表现突出 。   </w:t>
      </w:r>
    </w:p>
    <w:p w14:paraId="4286BE54" w14:textId="77777777" w:rsidR="00147675" w:rsidRPr="00147675" w:rsidRDefault="00147675" w:rsidP="00147675">
      <w:pPr>
        <w:numPr>
          <w:ilvl w:val="0"/>
          <w:numId w:val="6"/>
        </w:numPr>
      </w:pPr>
      <w:r w:rsidRPr="00147675">
        <w:rPr>
          <w:b/>
          <w:bCs/>
        </w:rPr>
        <w:lastRenderedPageBreak/>
        <w:t>过热期 (Overheating):</w:t>
      </w:r>
      <w:r w:rsidRPr="00147675">
        <w:t xml:space="preserve"> 经济增长强劲，通胀加速上行。</w:t>
      </w:r>
    </w:p>
    <w:p w14:paraId="4640821E" w14:textId="77777777" w:rsidR="00147675" w:rsidRPr="00147675" w:rsidRDefault="00147675" w:rsidP="00147675">
      <w:pPr>
        <w:numPr>
          <w:ilvl w:val="1"/>
          <w:numId w:val="6"/>
        </w:numPr>
      </w:pPr>
      <w:r w:rsidRPr="00147675">
        <w:rPr>
          <w:b/>
          <w:bCs/>
        </w:rPr>
        <w:t>逻辑：</w:t>
      </w:r>
      <w:r w:rsidRPr="00147675">
        <w:t xml:space="preserve"> 需求全面爆发，导致上游资源出现供给瓶颈，价格大幅上涨。企业盈利达到顶峰。</w:t>
      </w:r>
    </w:p>
    <w:p w14:paraId="33CC9E6D" w14:textId="77777777" w:rsidR="00147675" w:rsidRPr="00147675" w:rsidRDefault="00147675" w:rsidP="00147675">
      <w:pPr>
        <w:numPr>
          <w:ilvl w:val="1"/>
          <w:numId w:val="6"/>
        </w:numPr>
      </w:pPr>
      <w:r w:rsidRPr="00147675">
        <w:rPr>
          <w:b/>
          <w:bCs/>
        </w:rPr>
        <w:t>优势行业：</w:t>
      </w:r>
      <w:r w:rsidRPr="00147675">
        <w:t xml:space="preserve"> 受益于价格上涨的</w:t>
      </w:r>
      <w:r w:rsidRPr="00147675">
        <w:rPr>
          <w:b/>
          <w:bCs/>
        </w:rPr>
        <w:t>周期上游</w:t>
      </w:r>
      <w:r w:rsidRPr="00147675">
        <w:t xml:space="preserve">（煤炭、有色、石油石化、基础化工）表现最佳。大金融板块也因经济过热而受益 。   </w:t>
      </w:r>
    </w:p>
    <w:p w14:paraId="4BE69A28" w14:textId="77777777" w:rsidR="00147675" w:rsidRPr="00147675" w:rsidRDefault="00147675" w:rsidP="00147675">
      <w:pPr>
        <w:numPr>
          <w:ilvl w:val="0"/>
          <w:numId w:val="6"/>
        </w:numPr>
      </w:pPr>
      <w:r w:rsidRPr="00147675">
        <w:rPr>
          <w:b/>
          <w:bCs/>
        </w:rPr>
        <w:t>滞胀期 (Stagflation):</w:t>
      </w:r>
      <w:r w:rsidRPr="00147675">
        <w:t xml:space="preserve"> 经济增长放缓，但通胀依旧高</w:t>
      </w:r>
      <w:proofErr w:type="gramStart"/>
      <w:r w:rsidRPr="00147675">
        <w:t>企</w:t>
      </w:r>
      <w:proofErr w:type="gramEnd"/>
      <w:r w:rsidRPr="00147675">
        <w:t>。</w:t>
      </w:r>
    </w:p>
    <w:p w14:paraId="68B4D336" w14:textId="77777777" w:rsidR="00147675" w:rsidRPr="00147675" w:rsidRDefault="00147675" w:rsidP="00147675">
      <w:pPr>
        <w:numPr>
          <w:ilvl w:val="1"/>
          <w:numId w:val="6"/>
        </w:numPr>
      </w:pPr>
      <w:r w:rsidRPr="00147675">
        <w:rPr>
          <w:b/>
          <w:bCs/>
        </w:rPr>
        <w:t>逻辑：</w:t>
      </w:r>
      <w:r w:rsidRPr="00147675">
        <w:t xml:space="preserve"> 经济下行压力出现，周期性行业盈利受损。同时，高通胀和高利率压制了成长股的估值。资金寻求确定性和防御性。</w:t>
      </w:r>
    </w:p>
    <w:p w14:paraId="7C17A0EB" w14:textId="77777777" w:rsidR="00147675" w:rsidRPr="00147675" w:rsidRDefault="00147675" w:rsidP="00147675">
      <w:pPr>
        <w:numPr>
          <w:ilvl w:val="1"/>
          <w:numId w:val="6"/>
        </w:numPr>
      </w:pPr>
      <w:r w:rsidRPr="00147675">
        <w:rPr>
          <w:b/>
          <w:bCs/>
        </w:rPr>
        <w:t>优势行业：</w:t>
      </w:r>
      <w:r w:rsidRPr="00147675">
        <w:t xml:space="preserve"> 需求刚性、现金</w:t>
      </w:r>
      <w:proofErr w:type="gramStart"/>
      <w:r w:rsidRPr="00147675">
        <w:t>流稳定</w:t>
      </w:r>
      <w:proofErr w:type="gramEnd"/>
      <w:r w:rsidRPr="00147675">
        <w:t>的</w:t>
      </w:r>
      <w:r w:rsidRPr="00147675">
        <w:rPr>
          <w:b/>
          <w:bCs/>
        </w:rPr>
        <w:t>消费</w:t>
      </w:r>
      <w:r w:rsidRPr="00147675">
        <w:t>板块（食品饮料、医药生物）和</w:t>
      </w:r>
      <w:r w:rsidRPr="00147675">
        <w:rPr>
          <w:b/>
          <w:bCs/>
        </w:rPr>
        <w:t>公共事业</w:t>
      </w:r>
      <w:r w:rsidRPr="00147675">
        <w:t xml:space="preserve">成为最佳的防御选择 。   </w:t>
      </w:r>
    </w:p>
    <w:p w14:paraId="31856390" w14:textId="77777777" w:rsidR="00147675" w:rsidRPr="00147675" w:rsidRDefault="00147675" w:rsidP="00147675">
      <w:pPr>
        <w:numPr>
          <w:ilvl w:val="0"/>
          <w:numId w:val="6"/>
        </w:numPr>
      </w:pPr>
      <w:r w:rsidRPr="00147675">
        <w:rPr>
          <w:b/>
          <w:bCs/>
        </w:rPr>
        <w:t>衰退期 (Recession):</w:t>
      </w:r>
      <w:r w:rsidRPr="00147675">
        <w:t xml:space="preserve"> 经济增长和通胀双双回落。</w:t>
      </w:r>
    </w:p>
    <w:p w14:paraId="65495F74" w14:textId="77777777" w:rsidR="00147675" w:rsidRPr="00147675" w:rsidRDefault="00147675" w:rsidP="00147675">
      <w:pPr>
        <w:numPr>
          <w:ilvl w:val="1"/>
          <w:numId w:val="6"/>
        </w:numPr>
      </w:pPr>
      <w:r w:rsidRPr="00147675">
        <w:rPr>
          <w:b/>
          <w:bCs/>
        </w:rPr>
        <w:t>逻辑：</w:t>
      </w:r>
      <w:r w:rsidRPr="00147675">
        <w:t xml:space="preserve"> 经济持续下行，企业盈利普遍恶化。为应对衰退，央行开启宽松货币政策，利率大幅下行。市场进入“流动性驱动”或“估值驱动”阶段。</w:t>
      </w:r>
    </w:p>
    <w:p w14:paraId="4ADFE4AB" w14:textId="77777777" w:rsidR="00147675" w:rsidRPr="00147675" w:rsidRDefault="00147675" w:rsidP="00147675">
      <w:pPr>
        <w:numPr>
          <w:ilvl w:val="1"/>
          <w:numId w:val="6"/>
        </w:numPr>
      </w:pPr>
      <w:r w:rsidRPr="00147675">
        <w:rPr>
          <w:b/>
          <w:bCs/>
        </w:rPr>
        <w:t>优势行业：</w:t>
      </w:r>
      <w:r w:rsidRPr="00147675">
        <w:t xml:space="preserve"> 对利率下行最为敏感、</w:t>
      </w:r>
      <w:proofErr w:type="gramStart"/>
      <w:r w:rsidRPr="00147675">
        <w:t>久期最长</w:t>
      </w:r>
      <w:proofErr w:type="gramEnd"/>
      <w:r w:rsidRPr="00147675">
        <w:t>的</w:t>
      </w:r>
      <w:r w:rsidRPr="00147675">
        <w:rPr>
          <w:b/>
          <w:bCs/>
        </w:rPr>
        <w:t>成长</w:t>
      </w:r>
      <w:r w:rsidRPr="00147675">
        <w:t xml:space="preserve">板块（TMT、高端制造）表现一枝独秀。低利率环境极大地打开了它们的估值空间 。   </w:t>
      </w:r>
    </w:p>
    <w:p w14:paraId="0A5453CF" w14:textId="77777777" w:rsidR="00147675" w:rsidRPr="00147675" w:rsidRDefault="00147675" w:rsidP="00147675">
      <w:r w:rsidRPr="00147675">
        <w:rPr>
          <w:b/>
          <w:bCs/>
        </w:rPr>
        <w:t>表3：基于商业周期（朱格拉/</w:t>
      </w:r>
      <w:proofErr w:type="gramStart"/>
      <w:r w:rsidRPr="00147675">
        <w:rPr>
          <w:b/>
          <w:bCs/>
        </w:rPr>
        <w:t>基钦周期</w:t>
      </w:r>
      <w:proofErr w:type="gramEnd"/>
      <w:r w:rsidRPr="00147675">
        <w:rPr>
          <w:b/>
          <w:bCs/>
        </w:rPr>
        <w:t>）的行业轮动矩阵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1235"/>
        <w:gridCol w:w="1235"/>
        <w:gridCol w:w="1235"/>
        <w:gridCol w:w="1250"/>
      </w:tblGrid>
      <w:tr w:rsidR="00147675" w:rsidRPr="00147675" w14:paraId="36871151" w14:textId="77777777" w:rsidTr="00FF2D23">
        <w:trPr>
          <w:tblHeader/>
          <w:tblCellSpacing w:w="15" w:type="dxa"/>
        </w:trPr>
        <w:tc>
          <w:tcPr>
            <w:tcW w:w="0" w:type="auto"/>
            <w:vAlign w:val="center"/>
            <w:hideMark/>
          </w:tcPr>
          <w:p w14:paraId="601FDDF3" w14:textId="77777777" w:rsidR="00147675" w:rsidRPr="00147675" w:rsidRDefault="00147675" w:rsidP="00147675">
            <w:r w:rsidRPr="00147675">
              <w:t>行业类别</w:t>
            </w:r>
          </w:p>
        </w:tc>
        <w:tc>
          <w:tcPr>
            <w:tcW w:w="0" w:type="auto"/>
            <w:vAlign w:val="center"/>
            <w:hideMark/>
          </w:tcPr>
          <w:p w14:paraId="4192A47F" w14:textId="77777777" w:rsidR="00147675" w:rsidRPr="00147675" w:rsidRDefault="00147675" w:rsidP="00147675">
            <w:r w:rsidRPr="00147675">
              <w:t>复苏期</w:t>
            </w:r>
          </w:p>
        </w:tc>
        <w:tc>
          <w:tcPr>
            <w:tcW w:w="0" w:type="auto"/>
            <w:vAlign w:val="center"/>
            <w:hideMark/>
          </w:tcPr>
          <w:p w14:paraId="31BD6139" w14:textId="77777777" w:rsidR="00147675" w:rsidRPr="00147675" w:rsidRDefault="00147675" w:rsidP="00147675">
            <w:r w:rsidRPr="00147675">
              <w:t>过热期</w:t>
            </w:r>
          </w:p>
        </w:tc>
        <w:tc>
          <w:tcPr>
            <w:tcW w:w="0" w:type="auto"/>
            <w:vAlign w:val="center"/>
            <w:hideMark/>
          </w:tcPr>
          <w:p w14:paraId="49478D51" w14:textId="77777777" w:rsidR="00147675" w:rsidRPr="00147675" w:rsidRDefault="00147675" w:rsidP="00147675">
            <w:r w:rsidRPr="00147675">
              <w:t>滞胀期</w:t>
            </w:r>
          </w:p>
        </w:tc>
        <w:tc>
          <w:tcPr>
            <w:tcW w:w="0" w:type="auto"/>
            <w:vAlign w:val="center"/>
            <w:hideMark/>
          </w:tcPr>
          <w:p w14:paraId="59052C73" w14:textId="77777777" w:rsidR="00147675" w:rsidRPr="00147675" w:rsidRDefault="00147675" w:rsidP="00147675">
            <w:r w:rsidRPr="00147675">
              <w:t>衰退期</w:t>
            </w:r>
          </w:p>
        </w:tc>
      </w:tr>
      <w:tr w:rsidR="00147675" w:rsidRPr="00147675" w14:paraId="63637042" w14:textId="77777777" w:rsidTr="00FF2D23">
        <w:trPr>
          <w:tblCellSpacing w:w="15" w:type="dxa"/>
        </w:trPr>
        <w:tc>
          <w:tcPr>
            <w:tcW w:w="0" w:type="auto"/>
            <w:vAlign w:val="center"/>
            <w:hideMark/>
          </w:tcPr>
          <w:p w14:paraId="76B02C96" w14:textId="77777777" w:rsidR="00147675" w:rsidRPr="00147675" w:rsidRDefault="00147675" w:rsidP="00147675">
            <w:r w:rsidRPr="00147675">
              <w:rPr>
                <w:b/>
                <w:bCs/>
              </w:rPr>
              <w:t>金融</w:t>
            </w:r>
          </w:p>
        </w:tc>
        <w:tc>
          <w:tcPr>
            <w:tcW w:w="0" w:type="auto"/>
            <w:vAlign w:val="center"/>
            <w:hideMark/>
          </w:tcPr>
          <w:p w14:paraId="5FAB605D" w14:textId="77777777" w:rsidR="00147675" w:rsidRPr="00147675" w:rsidRDefault="00147675" w:rsidP="00147675">
            <w:r w:rsidRPr="00147675">
              <w:rPr>
                <w:b/>
                <w:bCs/>
              </w:rPr>
              <w:t>◎ 优于大市</w:t>
            </w:r>
          </w:p>
        </w:tc>
        <w:tc>
          <w:tcPr>
            <w:tcW w:w="0" w:type="auto"/>
            <w:vAlign w:val="center"/>
            <w:hideMark/>
          </w:tcPr>
          <w:p w14:paraId="4C9CC2F3" w14:textId="77777777" w:rsidR="00147675" w:rsidRPr="00147675" w:rsidRDefault="00147675" w:rsidP="00147675">
            <w:r w:rsidRPr="00147675">
              <w:rPr>
                <w:b/>
                <w:bCs/>
              </w:rPr>
              <w:t>◎ 优于大市</w:t>
            </w:r>
          </w:p>
        </w:tc>
        <w:tc>
          <w:tcPr>
            <w:tcW w:w="0" w:type="auto"/>
            <w:vAlign w:val="center"/>
            <w:hideMark/>
          </w:tcPr>
          <w:p w14:paraId="34EFC516" w14:textId="77777777" w:rsidR="00147675" w:rsidRPr="00147675" w:rsidRDefault="00147675" w:rsidP="00147675">
            <w:r w:rsidRPr="00147675">
              <w:t>● 弱于大市</w:t>
            </w:r>
          </w:p>
        </w:tc>
        <w:tc>
          <w:tcPr>
            <w:tcW w:w="0" w:type="auto"/>
            <w:vAlign w:val="center"/>
            <w:hideMark/>
          </w:tcPr>
          <w:p w14:paraId="6D68AA8A" w14:textId="77777777" w:rsidR="00147675" w:rsidRPr="00147675" w:rsidRDefault="00147675" w:rsidP="00147675">
            <w:r w:rsidRPr="00147675">
              <w:t>○ 中性</w:t>
            </w:r>
          </w:p>
        </w:tc>
      </w:tr>
      <w:tr w:rsidR="00147675" w:rsidRPr="00147675" w14:paraId="2CD30673" w14:textId="77777777" w:rsidTr="00FF2D23">
        <w:trPr>
          <w:tblCellSpacing w:w="15" w:type="dxa"/>
        </w:trPr>
        <w:tc>
          <w:tcPr>
            <w:tcW w:w="0" w:type="auto"/>
            <w:vAlign w:val="center"/>
            <w:hideMark/>
          </w:tcPr>
          <w:p w14:paraId="78D68531" w14:textId="77777777" w:rsidR="00147675" w:rsidRPr="00147675" w:rsidRDefault="00147675" w:rsidP="00147675">
            <w:r w:rsidRPr="00147675">
              <w:rPr>
                <w:b/>
                <w:bCs/>
              </w:rPr>
              <w:t>周期上游 (材料/能源)</w:t>
            </w:r>
          </w:p>
        </w:tc>
        <w:tc>
          <w:tcPr>
            <w:tcW w:w="0" w:type="auto"/>
            <w:vAlign w:val="center"/>
            <w:hideMark/>
          </w:tcPr>
          <w:p w14:paraId="58C0943F" w14:textId="77777777" w:rsidR="00147675" w:rsidRPr="00147675" w:rsidRDefault="00147675" w:rsidP="00147675">
            <w:r w:rsidRPr="00147675">
              <w:t>○ 中性</w:t>
            </w:r>
          </w:p>
        </w:tc>
        <w:tc>
          <w:tcPr>
            <w:tcW w:w="0" w:type="auto"/>
            <w:vAlign w:val="center"/>
            <w:hideMark/>
          </w:tcPr>
          <w:p w14:paraId="6F042101" w14:textId="77777777" w:rsidR="00147675" w:rsidRPr="00147675" w:rsidRDefault="00147675" w:rsidP="00147675">
            <w:r w:rsidRPr="00147675">
              <w:rPr>
                <w:b/>
                <w:bCs/>
              </w:rPr>
              <w:t>◎ 优于大市</w:t>
            </w:r>
          </w:p>
        </w:tc>
        <w:tc>
          <w:tcPr>
            <w:tcW w:w="0" w:type="auto"/>
            <w:vAlign w:val="center"/>
            <w:hideMark/>
          </w:tcPr>
          <w:p w14:paraId="0C7327B1" w14:textId="77777777" w:rsidR="00147675" w:rsidRPr="00147675" w:rsidRDefault="00147675" w:rsidP="00147675">
            <w:r w:rsidRPr="00147675">
              <w:t>○ 中性</w:t>
            </w:r>
          </w:p>
        </w:tc>
        <w:tc>
          <w:tcPr>
            <w:tcW w:w="0" w:type="auto"/>
            <w:vAlign w:val="center"/>
            <w:hideMark/>
          </w:tcPr>
          <w:p w14:paraId="38C65C63" w14:textId="77777777" w:rsidR="00147675" w:rsidRPr="00147675" w:rsidRDefault="00147675" w:rsidP="00147675">
            <w:r w:rsidRPr="00147675">
              <w:t>● 弱于大市</w:t>
            </w:r>
          </w:p>
        </w:tc>
      </w:tr>
      <w:tr w:rsidR="00147675" w:rsidRPr="00147675" w14:paraId="26F4336B" w14:textId="77777777" w:rsidTr="00FF2D23">
        <w:trPr>
          <w:tblCellSpacing w:w="15" w:type="dxa"/>
        </w:trPr>
        <w:tc>
          <w:tcPr>
            <w:tcW w:w="0" w:type="auto"/>
            <w:vAlign w:val="center"/>
            <w:hideMark/>
          </w:tcPr>
          <w:p w14:paraId="36AB445E" w14:textId="77777777" w:rsidR="00147675" w:rsidRPr="00147675" w:rsidRDefault="00147675" w:rsidP="00147675">
            <w:r w:rsidRPr="00147675">
              <w:rPr>
                <w:b/>
                <w:bCs/>
              </w:rPr>
              <w:t>周期中游 (工业)</w:t>
            </w:r>
          </w:p>
        </w:tc>
        <w:tc>
          <w:tcPr>
            <w:tcW w:w="0" w:type="auto"/>
            <w:vAlign w:val="center"/>
            <w:hideMark/>
          </w:tcPr>
          <w:p w14:paraId="636A94C6" w14:textId="77777777" w:rsidR="00147675" w:rsidRPr="00147675" w:rsidRDefault="00147675" w:rsidP="00147675">
            <w:r w:rsidRPr="00147675">
              <w:rPr>
                <w:b/>
                <w:bCs/>
              </w:rPr>
              <w:t>◎ 优于大市</w:t>
            </w:r>
          </w:p>
        </w:tc>
        <w:tc>
          <w:tcPr>
            <w:tcW w:w="0" w:type="auto"/>
            <w:vAlign w:val="center"/>
            <w:hideMark/>
          </w:tcPr>
          <w:p w14:paraId="0ADA6CD7" w14:textId="77777777" w:rsidR="00147675" w:rsidRPr="00147675" w:rsidRDefault="00147675" w:rsidP="00147675">
            <w:r w:rsidRPr="00147675">
              <w:t>○ 中性</w:t>
            </w:r>
          </w:p>
        </w:tc>
        <w:tc>
          <w:tcPr>
            <w:tcW w:w="0" w:type="auto"/>
            <w:vAlign w:val="center"/>
            <w:hideMark/>
          </w:tcPr>
          <w:p w14:paraId="788E1FB6" w14:textId="77777777" w:rsidR="00147675" w:rsidRPr="00147675" w:rsidRDefault="00147675" w:rsidP="00147675">
            <w:r w:rsidRPr="00147675">
              <w:t>● 弱于大市</w:t>
            </w:r>
          </w:p>
        </w:tc>
        <w:tc>
          <w:tcPr>
            <w:tcW w:w="0" w:type="auto"/>
            <w:vAlign w:val="center"/>
            <w:hideMark/>
          </w:tcPr>
          <w:p w14:paraId="7F637E60" w14:textId="77777777" w:rsidR="00147675" w:rsidRPr="00147675" w:rsidRDefault="00147675" w:rsidP="00147675">
            <w:r w:rsidRPr="00147675">
              <w:t>● 弱于大市</w:t>
            </w:r>
          </w:p>
        </w:tc>
      </w:tr>
      <w:tr w:rsidR="00147675" w:rsidRPr="00147675" w14:paraId="633C31B3" w14:textId="77777777" w:rsidTr="00FF2D23">
        <w:trPr>
          <w:tblCellSpacing w:w="15" w:type="dxa"/>
        </w:trPr>
        <w:tc>
          <w:tcPr>
            <w:tcW w:w="0" w:type="auto"/>
            <w:vAlign w:val="center"/>
            <w:hideMark/>
          </w:tcPr>
          <w:p w14:paraId="0165642B" w14:textId="77777777" w:rsidR="00147675" w:rsidRPr="00147675" w:rsidRDefault="00147675" w:rsidP="00147675">
            <w:r w:rsidRPr="00147675">
              <w:rPr>
                <w:b/>
                <w:bCs/>
              </w:rPr>
              <w:t>周期下游 (可选消费)</w:t>
            </w:r>
          </w:p>
        </w:tc>
        <w:tc>
          <w:tcPr>
            <w:tcW w:w="0" w:type="auto"/>
            <w:vAlign w:val="center"/>
            <w:hideMark/>
          </w:tcPr>
          <w:p w14:paraId="29C0865C" w14:textId="77777777" w:rsidR="00147675" w:rsidRPr="00147675" w:rsidRDefault="00147675" w:rsidP="00147675">
            <w:r w:rsidRPr="00147675">
              <w:rPr>
                <w:b/>
                <w:bCs/>
              </w:rPr>
              <w:t>◎ 优于大市</w:t>
            </w:r>
          </w:p>
        </w:tc>
        <w:tc>
          <w:tcPr>
            <w:tcW w:w="0" w:type="auto"/>
            <w:vAlign w:val="center"/>
            <w:hideMark/>
          </w:tcPr>
          <w:p w14:paraId="59EF4EDD" w14:textId="77777777" w:rsidR="00147675" w:rsidRPr="00147675" w:rsidRDefault="00147675" w:rsidP="00147675">
            <w:r w:rsidRPr="00147675">
              <w:t>○ 中性</w:t>
            </w:r>
          </w:p>
        </w:tc>
        <w:tc>
          <w:tcPr>
            <w:tcW w:w="0" w:type="auto"/>
            <w:vAlign w:val="center"/>
            <w:hideMark/>
          </w:tcPr>
          <w:p w14:paraId="4CB158A7" w14:textId="77777777" w:rsidR="00147675" w:rsidRPr="00147675" w:rsidRDefault="00147675" w:rsidP="00147675">
            <w:r w:rsidRPr="00147675">
              <w:t>● 弱于大市</w:t>
            </w:r>
          </w:p>
        </w:tc>
        <w:tc>
          <w:tcPr>
            <w:tcW w:w="0" w:type="auto"/>
            <w:vAlign w:val="center"/>
            <w:hideMark/>
          </w:tcPr>
          <w:p w14:paraId="4AA2D117" w14:textId="77777777" w:rsidR="00147675" w:rsidRPr="00147675" w:rsidRDefault="00147675" w:rsidP="00147675">
            <w:r w:rsidRPr="00147675">
              <w:t>○ 中性</w:t>
            </w:r>
          </w:p>
        </w:tc>
      </w:tr>
      <w:tr w:rsidR="00147675" w:rsidRPr="00147675" w14:paraId="460C2EAF" w14:textId="77777777" w:rsidTr="00FF2D23">
        <w:trPr>
          <w:tblCellSpacing w:w="15" w:type="dxa"/>
        </w:trPr>
        <w:tc>
          <w:tcPr>
            <w:tcW w:w="0" w:type="auto"/>
            <w:vAlign w:val="center"/>
            <w:hideMark/>
          </w:tcPr>
          <w:p w14:paraId="174B91C5" w14:textId="77777777" w:rsidR="00147675" w:rsidRPr="00147675" w:rsidRDefault="00147675" w:rsidP="00147675">
            <w:r w:rsidRPr="00147675">
              <w:rPr>
                <w:b/>
                <w:bCs/>
              </w:rPr>
              <w:t>必选消费</w:t>
            </w:r>
          </w:p>
        </w:tc>
        <w:tc>
          <w:tcPr>
            <w:tcW w:w="0" w:type="auto"/>
            <w:vAlign w:val="center"/>
            <w:hideMark/>
          </w:tcPr>
          <w:p w14:paraId="49240211" w14:textId="77777777" w:rsidR="00147675" w:rsidRPr="00147675" w:rsidRDefault="00147675" w:rsidP="00147675">
            <w:r w:rsidRPr="00147675">
              <w:t>○ 中性</w:t>
            </w:r>
          </w:p>
        </w:tc>
        <w:tc>
          <w:tcPr>
            <w:tcW w:w="0" w:type="auto"/>
            <w:vAlign w:val="center"/>
            <w:hideMark/>
          </w:tcPr>
          <w:p w14:paraId="0570154E" w14:textId="77777777" w:rsidR="00147675" w:rsidRPr="00147675" w:rsidRDefault="00147675" w:rsidP="00147675">
            <w:r w:rsidRPr="00147675">
              <w:t>● 弱于大市</w:t>
            </w:r>
          </w:p>
        </w:tc>
        <w:tc>
          <w:tcPr>
            <w:tcW w:w="0" w:type="auto"/>
            <w:vAlign w:val="center"/>
            <w:hideMark/>
          </w:tcPr>
          <w:p w14:paraId="37EDFD9F" w14:textId="77777777" w:rsidR="00147675" w:rsidRPr="00147675" w:rsidRDefault="00147675" w:rsidP="00147675">
            <w:r w:rsidRPr="00147675">
              <w:rPr>
                <w:b/>
                <w:bCs/>
              </w:rPr>
              <w:t>◎ 优于大市</w:t>
            </w:r>
          </w:p>
        </w:tc>
        <w:tc>
          <w:tcPr>
            <w:tcW w:w="0" w:type="auto"/>
            <w:vAlign w:val="center"/>
            <w:hideMark/>
          </w:tcPr>
          <w:p w14:paraId="40277DA6" w14:textId="77777777" w:rsidR="00147675" w:rsidRPr="00147675" w:rsidRDefault="00147675" w:rsidP="00147675">
            <w:r w:rsidRPr="00147675">
              <w:t>○ 中性</w:t>
            </w:r>
          </w:p>
        </w:tc>
      </w:tr>
      <w:tr w:rsidR="00147675" w:rsidRPr="00147675" w14:paraId="28451EA6" w14:textId="77777777" w:rsidTr="00FF2D23">
        <w:trPr>
          <w:tblCellSpacing w:w="15" w:type="dxa"/>
        </w:trPr>
        <w:tc>
          <w:tcPr>
            <w:tcW w:w="0" w:type="auto"/>
            <w:vAlign w:val="center"/>
            <w:hideMark/>
          </w:tcPr>
          <w:p w14:paraId="5C67C032" w14:textId="77777777" w:rsidR="00147675" w:rsidRPr="00147675" w:rsidRDefault="00147675" w:rsidP="00147675">
            <w:r w:rsidRPr="00147675">
              <w:rPr>
                <w:b/>
                <w:bCs/>
              </w:rPr>
              <w:t>医疗保健</w:t>
            </w:r>
          </w:p>
        </w:tc>
        <w:tc>
          <w:tcPr>
            <w:tcW w:w="0" w:type="auto"/>
            <w:vAlign w:val="center"/>
            <w:hideMark/>
          </w:tcPr>
          <w:p w14:paraId="13452917" w14:textId="77777777" w:rsidR="00147675" w:rsidRPr="00147675" w:rsidRDefault="00147675" w:rsidP="00147675">
            <w:r w:rsidRPr="00147675">
              <w:t>○ 中性</w:t>
            </w:r>
          </w:p>
        </w:tc>
        <w:tc>
          <w:tcPr>
            <w:tcW w:w="0" w:type="auto"/>
            <w:vAlign w:val="center"/>
            <w:hideMark/>
          </w:tcPr>
          <w:p w14:paraId="5F46128C" w14:textId="77777777" w:rsidR="00147675" w:rsidRPr="00147675" w:rsidRDefault="00147675" w:rsidP="00147675">
            <w:r w:rsidRPr="00147675">
              <w:t>● 弱于大市</w:t>
            </w:r>
          </w:p>
        </w:tc>
        <w:tc>
          <w:tcPr>
            <w:tcW w:w="0" w:type="auto"/>
            <w:vAlign w:val="center"/>
            <w:hideMark/>
          </w:tcPr>
          <w:p w14:paraId="1E4271BC" w14:textId="77777777" w:rsidR="00147675" w:rsidRPr="00147675" w:rsidRDefault="00147675" w:rsidP="00147675">
            <w:r w:rsidRPr="00147675">
              <w:rPr>
                <w:b/>
                <w:bCs/>
              </w:rPr>
              <w:t>◎ 优于大市</w:t>
            </w:r>
          </w:p>
        </w:tc>
        <w:tc>
          <w:tcPr>
            <w:tcW w:w="0" w:type="auto"/>
            <w:vAlign w:val="center"/>
            <w:hideMark/>
          </w:tcPr>
          <w:p w14:paraId="7611E9D9" w14:textId="77777777" w:rsidR="00147675" w:rsidRPr="00147675" w:rsidRDefault="00147675" w:rsidP="00147675">
            <w:r w:rsidRPr="00147675">
              <w:t>○ 中性</w:t>
            </w:r>
          </w:p>
        </w:tc>
      </w:tr>
      <w:tr w:rsidR="00147675" w:rsidRPr="00147675" w14:paraId="0A153EF6" w14:textId="77777777" w:rsidTr="00FF2D23">
        <w:trPr>
          <w:tblCellSpacing w:w="15" w:type="dxa"/>
        </w:trPr>
        <w:tc>
          <w:tcPr>
            <w:tcW w:w="0" w:type="auto"/>
            <w:vAlign w:val="center"/>
            <w:hideMark/>
          </w:tcPr>
          <w:p w14:paraId="7EB580AC" w14:textId="77777777" w:rsidR="00147675" w:rsidRPr="00147675" w:rsidRDefault="00147675" w:rsidP="00147675">
            <w:r w:rsidRPr="00147675">
              <w:rPr>
                <w:b/>
                <w:bCs/>
              </w:rPr>
              <w:t>信息技术 (成长)</w:t>
            </w:r>
          </w:p>
        </w:tc>
        <w:tc>
          <w:tcPr>
            <w:tcW w:w="0" w:type="auto"/>
            <w:vAlign w:val="center"/>
            <w:hideMark/>
          </w:tcPr>
          <w:p w14:paraId="1416336F" w14:textId="77777777" w:rsidR="00147675" w:rsidRPr="00147675" w:rsidRDefault="00147675" w:rsidP="00147675">
            <w:r w:rsidRPr="00147675">
              <w:t>○ 中性</w:t>
            </w:r>
          </w:p>
        </w:tc>
        <w:tc>
          <w:tcPr>
            <w:tcW w:w="0" w:type="auto"/>
            <w:vAlign w:val="center"/>
            <w:hideMark/>
          </w:tcPr>
          <w:p w14:paraId="32BFE0FF" w14:textId="77777777" w:rsidR="00147675" w:rsidRPr="00147675" w:rsidRDefault="00147675" w:rsidP="00147675">
            <w:r w:rsidRPr="00147675">
              <w:t>● 弱于大市</w:t>
            </w:r>
          </w:p>
        </w:tc>
        <w:tc>
          <w:tcPr>
            <w:tcW w:w="0" w:type="auto"/>
            <w:vAlign w:val="center"/>
            <w:hideMark/>
          </w:tcPr>
          <w:p w14:paraId="06276EE8" w14:textId="77777777" w:rsidR="00147675" w:rsidRPr="00147675" w:rsidRDefault="00147675" w:rsidP="00147675">
            <w:r w:rsidRPr="00147675">
              <w:t>● 弱于大市</w:t>
            </w:r>
          </w:p>
        </w:tc>
        <w:tc>
          <w:tcPr>
            <w:tcW w:w="0" w:type="auto"/>
            <w:vAlign w:val="center"/>
            <w:hideMark/>
          </w:tcPr>
          <w:p w14:paraId="31D66CB6" w14:textId="77777777" w:rsidR="00147675" w:rsidRPr="00147675" w:rsidRDefault="00147675" w:rsidP="00147675">
            <w:r w:rsidRPr="00147675">
              <w:rPr>
                <w:b/>
                <w:bCs/>
              </w:rPr>
              <w:t>◎ 优于大市</w:t>
            </w:r>
          </w:p>
        </w:tc>
      </w:tr>
      <w:tr w:rsidR="00147675" w:rsidRPr="00147675" w14:paraId="7B234ECD" w14:textId="77777777" w:rsidTr="00FF2D23">
        <w:trPr>
          <w:tblCellSpacing w:w="15" w:type="dxa"/>
        </w:trPr>
        <w:tc>
          <w:tcPr>
            <w:tcW w:w="0" w:type="auto"/>
            <w:vAlign w:val="center"/>
            <w:hideMark/>
          </w:tcPr>
          <w:p w14:paraId="6C1D29B9" w14:textId="77777777" w:rsidR="00147675" w:rsidRPr="00147675" w:rsidRDefault="00147675" w:rsidP="00147675">
            <w:r w:rsidRPr="00147675">
              <w:rPr>
                <w:b/>
                <w:bCs/>
              </w:rPr>
              <w:t>公共事业</w:t>
            </w:r>
          </w:p>
        </w:tc>
        <w:tc>
          <w:tcPr>
            <w:tcW w:w="0" w:type="auto"/>
            <w:vAlign w:val="center"/>
            <w:hideMark/>
          </w:tcPr>
          <w:p w14:paraId="35D68D8D" w14:textId="77777777" w:rsidR="00147675" w:rsidRPr="00147675" w:rsidRDefault="00147675" w:rsidP="00147675">
            <w:r w:rsidRPr="00147675">
              <w:t>● 弱于大市</w:t>
            </w:r>
          </w:p>
        </w:tc>
        <w:tc>
          <w:tcPr>
            <w:tcW w:w="0" w:type="auto"/>
            <w:vAlign w:val="center"/>
            <w:hideMark/>
          </w:tcPr>
          <w:p w14:paraId="03013112" w14:textId="77777777" w:rsidR="00147675" w:rsidRPr="00147675" w:rsidRDefault="00147675" w:rsidP="00147675">
            <w:r w:rsidRPr="00147675">
              <w:t>● 弱于大市</w:t>
            </w:r>
          </w:p>
        </w:tc>
        <w:tc>
          <w:tcPr>
            <w:tcW w:w="0" w:type="auto"/>
            <w:vAlign w:val="center"/>
            <w:hideMark/>
          </w:tcPr>
          <w:p w14:paraId="5FC420A8" w14:textId="77777777" w:rsidR="00147675" w:rsidRPr="00147675" w:rsidRDefault="00147675" w:rsidP="00147675">
            <w:r w:rsidRPr="00147675">
              <w:rPr>
                <w:b/>
                <w:bCs/>
              </w:rPr>
              <w:t>◎ 优于大市</w:t>
            </w:r>
          </w:p>
        </w:tc>
        <w:tc>
          <w:tcPr>
            <w:tcW w:w="0" w:type="auto"/>
            <w:vAlign w:val="center"/>
            <w:hideMark/>
          </w:tcPr>
          <w:p w14:paraId="0225B1D1" w14:textId="77777777" w:rsidR="00147675" w:rsidRPr="00147675" w:rsidRDefault="00147675" w:rsidP="00147675">
            <w:r w:rsidRPr="00147675">
              <w:rPr>
                <w:b/>
                <w:bCs/>
              </w:rPr>
              <w:t>◎ 优于大市</w:t>
            </w:r>
          </w:p>
        </w:tc>
      </w:tr>
    </w:tbl>
    <w:p w14:paraId="1493114E" w14:textId="77777777" w:rsidR="00147675" w:rsidRPr="00147675" w:rsidRDefault="00147675" w:rsidP="00147675">
      <w:r w:rsidRPr="00147675">
        <w:t>Export to Sheets</w:t>
      </w:r>
    </w:p>
    <w:p w14:paraId="690B8712" w14:textId="77777777" w:rsidR="00147675" w:rsidRPr="00147675" w:rsidRDefault="00147675" w:rsidP="00147675">
      <w:r w:rsidRPr="00147675">
        <w:rPr>
          <w:i/>
          <w:iCs/>
        </w:rPr>
        <w:t>图例: ◎ 优于大市, ○ 中性, ● 弱于大市</w:t>
      </w:r>
    </w:p>
    <w:p w14:paraId="7A499E0B" w14:textId="77777777" w:rsidR="00147675" w:rsidRPr="00147675" w:rsidRDefault="00147675" w:rsidP="00147675">
      <w:pPr>
        <w:rPr>
          <w:b/>
          <w:bCs/>
        </w:rPr>
      </w:pPr>
      <w:r w:rsidRPr="00147675">
        <w:rPr>
          <w:b/>
          <w:bCs/>
        </w:rPr>
        <w:t>第三部分：操作框架——从宏观到微观的公司分析与估值流程</w:t>
      </w:r>
    </w:p>
    <w:p w14:paraId="75410A66" w14:textId="77777777" w:rsidR="00147675" w:rsidRPr="00147675" w:rsidRDefault="00147675" w:rsidP="00147675">
      <w:r w:rsidRPr="00147675">
        <w:t>本部分旨在将前两部分的理论与战略，整合成一个严谨、可执行、可编程的分析流程。它将指导使用者，特别是人工智能系统，如何从宏观周期判断出发，层层递进，最终对单个公司做出具体的投资决策。</w:t>
      </w:r>
    </w:p>
    <w:p w14:paraId="5B38D560" w14:textId="77777777" w:rsidR="00147675" w:rsidRPr="00147675" w:rsidRDefault="00147675" w:rsidP="00147675">
      <w:pPr>
        <w:rPr>
          <w:b/>
          <w:bCs/>
        </w:rPr>
      </w:pPr>
      <w:r w:rsidRPr="00147675">
        <w:rPr>
          <w:b/>
          <w:bCs/>
        </w:rPr>
        <w:t>步骤</w:t>
      </w:r>
      <w:proofErr w:type="gramStart"/>
      <w:r w:rsidRPr="00147675">
        <w:rPr>
          <w:b/>
          <w:bCs/>
        </w:rPr>
        <w:t>一</w:t>
      </w:r>
      <w:proofErr w:type="gramEnd"/>
      <w:r w:rsidRPr="00147675">
        <w:rPr>
          <w:b/>
          <w:bCs/>
        </w:rPr>
        <w:t>：宏观周期背景分析 (自上而下)</w:t>
      </w:r>
    </w:p>
    <w:p w14:paraId="2E5EBA7D" w14:textId="77777777" w:rsidR="00147675" w:rsidRPr="00147675" w:rsidRDefault="00147675" w:rsidP="00147675">
      <w:r w:rsidRPr="00147675">
        <w:t>此为框架的第一步，也是所有后续分析的基石。</w:t>
      </w:r>
    </w:p>
    <w:p w14:paraId="0325157F" w14:textId="77777777" w:rsidR="00147675" w:rsidRPr="00147675" w:rsidRDefault="00147675" w:rsidP="00147675">
      <w:pPr>
        <w:numPr>
          <w:ilvl w:val="0"/>
          <w:numId w:val="7"/>
        </w:numPr>
      </w:pPr>
      <w:r w:rsidRPr="00147675">
        <w:rPr>
          <w:b/>
          <w:bCs/>
        </w:rPr>
        <w:t>1.1 周期阶段识别：</w:t>
      </w:r>
      <w:r w:rsidRPr="00147675">
        <w:t xml:space="preserve"> 运用第二部分2.1节中描述的方法，对康波、库兹涅茨周期、朱格拉周期和</w:t>
      </w:r>
      <w:proofErr w:type="gramStart"/>
      <w:r w:rsidRPr="00147675">
        <w:t>基钦</w:t>
      </w:r>
      <w:proofErr w:type="gramEnd"/>
      <w:r w:rsidRPr="00147675">
        <w:t>周期进行阶段定位，输出一个明确的“宏观周期仪表盘”。</w:t>
      </w:r>
    </w:p>
    <w:p w14:paraId="40B65293" w14:textId="77777777" w:rsidR="00147675" w:rsidRPr="00147675" w:rsidRDefault="00147675" w:rsidP="00147675">
      <w:pPr>
        <w:numPr>
          <w:ilvl w:val="0"/>
          <w:numId w:val="7"/>
        </w:numPr>
      </w:pPr>
      <w:r w:rsidRPr="00147675">
        <w:rPr>
          <w:b/>
          <w:bCs/>
        </w:rPr>
        <w:t>1.2 宏观周期评分：</w:t>
      </w:r>
      <w:r w:rsidRPr="00147675">
        <w:t xml:space="preserve"> 为了便于量化和编程，可以引入一个“宏观周期评分”机制。为每个周期的不同阶段赋予一个分数（例如，康波繁荣期+10分，萧条期-10分；</w:t>
      </w:r>
      <w:proofErr w:type="gramStart"/>
      <w:r w:rsidRPr="00147675">
        <w:t>基钦扩张</w:t>
      </w:r>
      <w:proofErr w:type="gramEnd"/>
      <w:r w:rsidRPr="00147675">
        <w:t>期+3分，收缩期-3分），然后加权汇总，得到一个总分。该分数直观地反映了当前宏观环境是“顺风”还是“逆风”。</w:t>
      </w:r>
    </w:p>
    <w:p w14:paraId="2D8A960A" w14:textId="77777777" w:rsidR="00147675" w:rsidRPr="00147675" w:rsidRDefault="00147675" w:rsidP="00147675">
      <w:pPr>
        <w:numPr>
          <w:ilvl w:val="0"/>
          <w:numId w:val="7"/>
        </w:numPr>
      </w:pPr>
      <w:r w:rsidRPr="00147675">
        <w:rPr>
          <w:b/>
          <w:bCs/>
        </w:rPr>
        <w:t>1.3 确定战略偏向：</w:t>
      </w:r>
      <w:r w:rsidRPr="00147675">
        <w:t xml:space="preserve"> 根据康波所处的阶段，并参照表2，确定资产组合的长期战略偏向（例如，若处于衰退期，</w:t>
      </w:r>
      <w:proofErr w:type="gramStart"/>
      <w:r w:rsidRPr="00147675">
        <w:t>则战略</w:t>
      </w:r>
      <w:proofErr w:type="gramEnd"/>
      <w:r w:rsidRPr="00147675">
        <w:t>偏向为“超配商品与黄金，低配房地产”）。</w:t>
      </w:r>
    </w:p>
    <w:p w14:paraId="38AAD6CC" w14:textId="77777777" w:rsidR="00147675" w:rsidRPr="00147675" w:rsidRDefault="00147675" w:rsidP="00147675">
      <w:pPr>
        <w:numPr>
          <w:ilvl w:val="0"/>
          <w:numId w:val="7"/>
        </w:numPr>
      </w:pPr>
      <w:r w:rsidRPr="00147675">
        <w:rPr>
          <w:b/>
          <w:bCs/>
        </w:rPr>
        <w:t>1.4 确定战术偏向：</w:t>
      </w:r>
      <w:r w:rsidRPr="00147675">
        <w:t xml:space="preserve"> 根据朱格拉/</w:t>
      </w:r>
      <w:proofErr w:type="gramStart"/>
      <w:r w:rsidRPr="00147675">
        <w:t>基钦周期</w:t>
      </w:r>
      <w:proofErr w:type="gramEnd"/>
      <w:r w:rsidRPr="00147675">
        <w:t>所处的商业周期阶段，并参照表3，确定</w:t>
      </w:r>
      <w:r w:rsidRPr="00147675">
        <w:lastRenderedPageBreak/>
        <w:t>股票组合的短期战术偏向（例如，若处于衰退期，则战术偏向为“超配成长股与公共事业，低配周期股”）。</w:t>
      </w:r>
    </w:p>
    <w:p w14:paraId="0CFF2FCC" w14:textId="77777777" w:rsidR="00147675" w:rsidRPr="00147675" w:rsidRDefault="00147675" w:rsidP="00147675">
      <w:pPr>
        <w:rPr>
          <w:b/>
          <w:bCs/>
        </w:rPr>
      </w:pPr>
      <w:r w:rsidRPr="00147675">
        <w:rPr>
          <w:b/>
          <w:bCs/>
        </w:rPr>
        <w:t>步骤二：行业与板块分析</w:t>
      </w:r>
    </w:p>
    <w:p w14:paraId="34D956DD" w14:textId="77777777" w:rsidR="00147675" w:rsidRPr="00147675" w:rsidRDefault="00147675" w:rsidP="00147675">
      <w:r w:rsidRPr="00147675">
        <w:t>在宏观背景明确后，第二步是筛选出最具吸引力的“赛道”。</w:t>
      </w:r>
    </w:p>
    <w:p w14:paraId="10E62724" w14:textId="77777777" w:rsidR="00147675" w:rsidRPr="00147675" w:rsidRDefault="00147675" w:rsidP="00147675">
      <w:pPr>
        <w:numPr>
          <w:ilvl w:val="0"/>
          <w:numId w:val="8"/>
        </w:numPr>
      </w:pPr>
      <w:r w:rsidRPr="00147675">
        <w:rPr>
          <w:b/>
          <w:bCs/>
        </w:rPr>
        <w:t>2.1 筛选优势行业：</w:t>
      </w:r>
      <w:r w:rsidRPr="00147675">
        <w:t xml:space="preserve"> 基于步骤1.4得出的战术偏向和表3的行业轮动矩阵，生成一个当前阶段的“推荐行业列表”。</w:t>
      </w:r>
    </w:p>
    <w:p w14:paraId="68785529" w14:textId="77777777" w:rsidR="00147675" w:rsidRPr="00147675" w:rsidRDefault="00147675" w:rsidP="00147675">
      <w:pPr>
        <w:numPr>
          <w:ilvl w:val="0"/>
          <w:numId w:val="8"/>
        </w:numPr>
      </w:pPr>
      <w:r w:rsidRPr="00147675">
        <w:rPr>
          <w:b/>
          <w:bCs/>
        </w:rPr>
        <w:t>2.2 行业周期性分类：</w:t>
      </w:r>
      <w:r w:rsidRPr="00147675">
        <w:t xml:space="preserve"> 对“推荐行业列表”中的每个细分行业进行周期性强弱的分类。</w:t>
      </w:r>
    </w:p>
    <w:p w14:paraId="6B67F1DD" w14:textId="77777777" w:rsidR="00147675" w:rsidRPr="00147675" w:rsidRDefault="00147675" w:rsidP="00147675">
      <w:pPr>
        <w:numPr>
          <w:ilvl w:val="1"/>
          <w:numId w:val="8"/>
        </w:numPr>
      </w:pPr>
      <w:r w:rsidRPr="00147675">
        <w:rPr>
          <w:b/>
          <w:bCs/>
        </w:rPr>
        <w:t>定量分析：</w:t>
      </w:r>
      <w:r w:rsidRPr="00147675">
        <w:t xml:space="preserve"> 计算该行业指数相对于市场基准指数（如沪深300）的贝塔值（Beta）。贝塔</w:t>
      </w:r>
      <w:proofErr w:type="gramStart"/>
      <w:r w:rsidRPr="00147675">
        <w:t>值显著</w:t>
      </w:r>
      <w:proofErr w:type="gramEnd"/>
      <w:r w:rsidRPr="00147675">
        <w:t xml:space="preserve">大于1，是行业周期性强的有力证据 。   </w:t>
      </w:r>
    </w:p>
    <w:p w14:paraId="0DB6A1AD" w14:textId="77777777" w:rsidR="00147675" w:rsidRPr="00147675" w:rsidRDefault="00147675" w:rsidP="00147675">
      <w:pPr>
        <w:numPr>
          <w:ilvl w:val="1"/>
          <w:numId w:val="8"/>
        </w:numPr>
      </w:pPr>
      <w:r w:rsidRPr="00147675">
        <w:rPr>
          <w:b/>
          <w:bCs/>
        </w:rPr>
        <w:t>定性分析：</w:t>
      </w:r>
      <w:r w:rsidRPr="00147675">
        <w:t xml:space="preserve"> 分析行业产品或服务的性质。其需求是“可选消费”（如汽车、旅游、奢侈品），还是“必选消费”（如食品、电力、基础医疗）。可选消费品的行业周期性远强于必选消费品。   </w:t>
      </w:r>
    </w:p>
    <w:p w14:paraId="32651D06" w14:textId="77777777" w:rsidR="00147675" w:rsidRPr="00147675" w:rsidRDefault="00147675" w:rsidP="00147675">
      <w:pPr>
        <w:numPr>
          <w:ilvl w:val="0"/>
          <w:numId w:val="8"/>
        </w:numPr>
      </w:pPr>
      <w:r w:rsidRPr="00147675">
        <w:rPr>
          <w:b/>
          <w:bCs/>
        </w:rPr>
        <w:t>2.3 分析行业内部动态：</w:t>
      </w:r>
    </w:p>
    <w:p w14:paraId="6C174B57" w14:textId="77777777" w:rsidR="00147675" w:rsidRPr="00147675" w:rsidRDefault="00147675" w:rsidP="00147675">
      <w:pPr>
        <w:numPr>
          <w:ilvl w:val="1"/>
          <w:numId w:val="8"/>
        </w:numPr>
      </w:pPr>
      <w:r w:rsidRPr="00147675">
        <w:rPr>
          <w:b/>
          <w:bCs/>
        </w:rPr>
        <w:t>产能周期：</w:t>
      </w:r>
      <w:r w:rsidRPr="00147675">
        <w:t xml:space="preserve"> 评估行业自身的资本开支和产能状况。是处于产能严重过剩（导致价格战和利润率下降），还是产能不足（拥有定价权）的阶段？ 。   </w:t>
      </w:r>
    </w:p>
    <w:p w14:paraId="54B2327A" w14:textId="77777777" w:rsidR="00147675" w:rsidRPr="00147675" w:rsidRDefault="00147675" w:rsidP="00147675">
      <w:pPr>
        <w:numPr>
          <w:ilvl w:val="1"/>
          <w:numId w:val="8"/>
        </w:numPr>
      </w:pPr>
      <w:r w:rsidRPr="00147675">
        <w:rPr>
          <w:b/>
          <w:bCs/>
        </w:rPr>
        <w:t>技术位置：</w:t>
      </w:r>
      <w:r w:rsidRPr="00147675">
        <w:t xml:space="preserve"> 评估行业的核心技术处于技术采纳S型曲线的哪个位置？是新兴导入期、快速成长期，还是成熟饱和期？ 。   </w:t>
      </w:r>
    </w:p>
    <w:p w14:paraId="5347657C" w14:textId="77777777" w:rsidR="00147675" w:rsidRPr="00147675" w:rsidRDefault="00147675" w:rsidP="00147675">
      <w:pPr>
        <w:rPr>
          <w:b/>
          <w:bCs/>
        </w:rPr>
      </w:pPr>
      <w:r w:rsidRPr="00147675">
        <w:rPr>
          <w:b/>
          <w:bCs/>
        </w:rPr>
        <w:t>步骤三：</w:t>
      </w:r>
      <w:proofErr w:type="gramStart"/>
      <w:r w:rsidRPr="00147675">
        <w:rPr>
          <w:b/>
          <w:bCs/>
        </w:rPr>
        <w:t>个股分</w:t>
      </w:r>
      <w:proofErr w:type="gramEnd"/>
      <w:r w:rsidRPr="00147675">
        <w:rPr>
          <w:b/>
          <w:bCs/>
        </w:rPr>
        <w:t>析</w:t>
      </w:r>
    </w:p>
    <w:p w14:paraId="750D26DA" w14:textId="77777777" w:rsidR="00147675" w:rsidRPr="00147675" w:rsidRDefault="00147675" w:rsidP="00147675">
      <w:r w:rsidRPr="00147675">
        <w:t>筛选出优势行业后，第三步是对其中的公司进行微观层面的尽职调查。</w:t>
      </w:r>
    </w:p>
    <w:p w14:paraId="14986D1D" w14:textId="77777777" w:rsidR="00147675" w:rsidRPr="00147675" w:rsidRDefault="00147675" w:rsidP="00147675">
      <w:pPr>
        <w:numPr>
          <w:ilvl w:val="0"/>
          <w:numId w:val="9"/>
        </w:numPr>
      </w:pPr>
      <w:r w:rsidRPr="00147675">
        <w:rPr>
          <w:b/>
          <w:bCs/>
        </w:rPr>
        <w:t>3.1 财务稳健性评估（“生存测试”）：</w:t>
      </w:r>
      <w:r w:rsidRPr="00147675">
        <w:t xml:space="preserve"> 对于周期性公司而言，能否在经济下行期活下来，是比成长性更重要的问题。</w:t>
      </w:r>
    </w:p>
    <w:p w14:paraId="369EA503" w14:textId="77777777" w:rsidR="00147675" w:rsidRPr="00147675" w:rsidRDefault="00147675" w:rsidP="00147675">
      <w:pPr>
        <w:numPr>
          <w:ilvl w:val="1"/>
          <w:numId w:val="9"/>
        </w:numPr>
      </w:pPr>
      <w:r w:rsidRPr="00147675">
        <w:rPr>
          <w:b/>
          <w:bCs/>
        </w:rPr>
        <w:t>资产负债表强度：</w:t>
      </w:r>
      <w:r w:rsidRPr="00147675">
        <w:t xml:space="preserve"> 重点分析杠杆比率（如资产负债率、净负债/EBITDA）和流动性比率（如流动比率、速动比率）。在周期下行时，低负债和充裕的现金是公司的生命线 。   </w:t>
      </w:r>
    </w:p>
    <w:p w14:paraId="7F2D35C2" w14:textId="77777777" w:rsidR="00147675" w:rsidRPr="00147675" w:rsidRDefault="00147675" w:rsidP="00147675">
      <w:pPr>
        <w:numPr>
          <w:ilvl w:val="1"/>
          <w:numId w:val="9"/>
        </w:numPr>
      </w:pPr>
      <w:r w:rsidRPr="00147675">
        <w:rPr>
          <w:b/>
          <w:bCs/>
        </w:rPr>
        <w:t>利润与收入波动性：</w:t>
      </w:r>
      <w:r w:rsidRPr="00147675">
        <w:t xml:space="preserve"> 分析公司过去至少一个完整商业周期（7-10年）的财务报表，量化其收入和利润率的波动幅度。波动性较低的公司通常更具韧性。</w:t>
      </w:r>
    </w:p>
    <w:p w14:paraId="0474533C" w14:textId="77777777" w:rsidR="00147675" w:rsidRPr="00147675" w:rsidRDefault="00147675" w:rsidP="00147675">
      <w:pPr>
        <w:numPr>
          <w:ilvl w:val="0"/>
          <w:numId w:val="9"/>
        </w:numPr>
      </w:pPr>
      <w:r w:rsidRPr="00147675">
        <w:rPr>
          <w:b/>
          <w:bCs/>
        </w:rPr>
        <w:t>3.2 管理层周期认知评估：</w:t>
      </w:r>
      <w:r w:rsidRPr="00147675">
        <w:t xml:space="preserve"> 这是一个关键的定性评估。</w:t>
      </w:r>
    </w:p>
    <w:p w14:paraId="7DA9CCBB" w14:textId="77777777" w:rsidR="00147675" w:rsidRPr="00147675" w:rsidRDefault="00147675" w:rsidP="00147675">
      <w:pPr>
        <w:numPr>
          <w:ilvl w:val="1"/>
          <w:numId w:val="9"/>
        </w:numPr>
      </w:pPr>
      <w:r w:rsidRPr="00147675">
        <w:rPr>
          <w:b/>
          <w:bCs/>
        </w:rPr>
        <w:t>资本配置历史：</w:t>
      </w:r>
      <w:r w:rsidRPr="00147675">
        <w:t xml:space="preserve"> 深入审视公司管理层在过去周期中的资本开支、并购和股票回购决策。他们是在周期顶部疯狂扩张，在底部恐慌收缩？还是展现出了逆周期的投资纪律和远见？ 。对管理层周期智慧的评估，是周金涛“反抗”哲学在公司层面的具体体现。   </w:t>
      </w:r>
    </w:p>
    <w:p w14:paraId="76201B04" w14:textId="77777777" w:rsidR="00147675" w:rsidRPr="00147675" w:rsidRDefault="00147675" w:rsidP="00147675">
      <w:pPr>
        <w:rPr>
          <w:b/>
          <w:bCs/>
        </w:rPr>
      </w:pPr>
      <w:r w:rsidRPr="00147675">
        <w:rPr>
          <w:b/>
          <w:bCs/>
        </w:rPr>
        <w:t>步骤四：周期调整后的估值</w:t>
      </w:r>
    </w:p>
    <w:p w14:paraId="48B956AC" w14:textId="77777777" w:rsidR="00147675" w:rsidRPr="00147675" w:rsidRDefault="00147675" w:rsidP="00147675">
      <w:r w:rsidRPr="00147675">
        <w:t>这是框架的最后一步，也是技术含量最高的一步，旨在解决周期性公司估值的核心难题。</w:t>
      </w:r>
    </w:p>
    <w:p w14:paraId="093EE5D2" w14:textId="77777777" w:rsidR="00147675" w:rsidRPr="00147675" w:rsidRDefault="00147675" w:rsidP="00147675">
      <w:pPr>
        <w:numPr>
          <w:ilvl w:val="0"/>
          <w:numId w:val="10"/>
        </w:numPr>
      </w:pPr>
      <w:r w:rsidRPr="00147675">
        <w:rPr>
          <w:b/>
          <w:bCs/>
        </w:rPr>
        <w:t>4.1 时点市盈率的谬误：</w:t>
      </w:r>
      <w:r w:rsidRPr="00147675">
        <w:t xml:space="preserve"> 必须清醒地认识到，对周期性公司使用时点（Point-in-Time）或滚动市盈率（TTM P/E）进行估值是极具误导性的。周期顶点的低市盈率往往是“价值陷阱”，因为盈利（E）即将断崖式下跌；而周期底部的超高甚至为负的市盈率，反而可能预示着历史性的买入机会 。A股市场的估值同样呈现明显的周期性，估值指标往往会均值回归 。   </w:t>
      </w:r>
    </w:p>
    <w:p w14:paraId="4D035AE4" w14:textId="77777777" w:rsidR="00147675" w:rsidRPr="00147675" w:rsidRDefault="00147675" w:rsidP="00147675">
      <w:pPr>
        <w:numPr>
          <w:ilvl w:val="0"/>
          <w:numId w:val="10"/>
        </w:numPr>
      </w:pPr>
      <w:r w:rsidRPr="00147675">
        <w:rPr>
          <w:b/>
          <w:bCs/>
        </w:rPr>
        <w:t>4.2 核心方法——盈利标准化 (Normalization)：</w:t>
      </w:r>
      <w:r w:rsidRPr="00147675">
        <w:t xml:space="preserve"> 这是周期股估值的基石。</w:t>
      </w:r>
    </w:p>
    <w:p w14:paraId="14C2C01C" w14:textId="77777777" w:rsidR="00147675" w:rsidRPr="00147675" w:rsidRDefault="00147675" w:rsidP="00147675">
      <w:pPr>
        <w:numPr>
          <w:ilvl w:val="1"/>
          <w:numId w:val="10"/>
        </w:numPr>
      </w:pPr>
      <w:r w:rsidRPr="00147675">
        <w:rPr>
          <w:b/>
          <w:bCs/>
        </w:rPr>
        <w:t>流程：</w:t>
      </w:r>
      <w:r w:rsidRPr="00147675">
        <w:t xml:space="preserve"> 计算公司在</w:t>
      </w:r>
      <w:r w:rsidRPr="00147675">
        <w:rPr>
          <w:b/>
          <w:bCs/>
        </w:rPr>
        <w:t>一个完整经济周期</w:t>
      </w:r>
      <w:r w:rsidRPr="00147675">
        <w:t>（通常取7-10年，以覆盖一个完整的朱格拉周期）内的</w:t>
      </w:r>
      <w:r w:rsidRPr="00147675">
        <w:rPr>
          <w:b/>
          <w:bCs/>
        </w:rPr>
        <w:t>平均盈利</w:t>
      </w:r>
      <w:r w:rsidRPr="00147675">
        <w:t xml:space="preserve">（或平均自由现金流）。这个经过平滑处理的“周期中性”（Through-Cycle）或“标准化”盈利，代表了公司可持续的真实盈利能力 。   </w:t>
      </w:r>
    </w:p>
    <w:p w14:paraId="0E50BF80" w14:textId="77777777" w:rsidR="00147675" w:rsidRPr="00147675" w:rsidRDefault="00147675" w:rsidP="00147675">
      <w:pPr>
        <w:numPr>
          <w:ilvl w:val="1"/>
          <w:numId w:val="10"/>
        </w:numPr>
      </w:pPr>
      <w:r w:rsidRPr="00147675">
        <w:rPr>
          <w:b/>
          <w:bCs/>
        </w:rPr>
        <w:t>数据来源：</w:t>
      </w:r>
      <w:r w:rsidRPr="00147675">
        <w:t xml:space="preserve"> 公司历史年度财务报告。</w:t>
      </w:r>
    </w:p>
    <w:p w14:paraId="4ACF565C" w14:textId="77777777" w:rsidR="00147675" w:rsidRPr="00147675" w:rsidRDefault="00147675" w:rsidP="00147675">
      <w:pPr>
        <w:numPr>
          <w:ilvl w:val="0"/>
          <w:numId w:val="10"/>
        </w:numPr>
      </w:pPr>
      <w:r w:rsidRPr="00147675">
        <w:rPr>
          <w:b/>
          <w:bCs/>
        </w:rPr>
        <w:lastRenderedPageBreak/>
        <w:t>4.3 应用标准化估值倍数：</w:t>
      </w:r>
    </w:p>
    <w:p w14:paraId="0F30DE7E" w14:textId="77777777" w:rsidR="00147675" w:rsidRPr="00147675" w:rsidRDefault="00147675" w:rsidP="00147675">
      <w:pPr>
        <w:numPr>
          <w:ilvl w:val="1"/>
          <w:numId w:val="10"/>
        </w:numPr>
      </w:pPr>
      <w:r w:rsidRPr="00147675">
        <w:t>使用标准化后的盈利数据计算估值比率，即 标准化市盈率 = 当前股价 / 标准化每股收益 或 标准化EV/EBITDA = 企业价值 / 标准化EBITDA。</w:t>
      </w:r>
    </w:p>
    <w:p w14:paraId="60D43DCC" w14:textId="77777777" w:rsidR="00147675" w:rsidRPr="00147675" w:rsidRDefault="00147675" w:rsidP="00147675">
      <w:pPr>
        <w:numPr>
          <w:ilvl w:val="1"/>
          <w:numId w:val="10"/>
        </w:numPr>
      </w:pPr>
      <w:r w:rsidRPr="00147675">
        <w:t xml:space="preserve">将计算出的标准化估值倍数与公司自身的历史标准化估值倍数区间进行比较，以判断其当前估值是处于历史高位还是低位 。   </w:t>
      </w:r>
    </w:p>
    <w:p w14:paraId="49539386" w14:textId="77777777" w:rsidR="00147675" w:rsidRPr="00147675" w:rsidRDefault="00147675" w:rsidP="00147675">
      <w:pPr>
        <w:numPr>
          <w:ilvl w:val="0"/>
          <w:numId w:val="10"/>
        </w:numPr>
      </w:pPr>
      <w:r w:rsidRPr="00147675">
        <w:rPr>
          <w:b/>
          <w:bCs/>
        </w:rPr>
        <w:t>4.4 情景分析 (Scenario Analysis)：</w:t>
      </w:r>
    </w:p>
    <w:p w14:paraId="264F6269" w14:textId="77777777" w:rsidR="00147675" w:rsidRPr="00147675" w:rsidRDefault="00147675" w:rsidP="00147675">
      <w:pPr>
        <w:numPr>
          <w:ilvl w:val="1"/>
          <w:numId w:val="10"/>
        </w:numPr>
      </w:pPr>
      <w:r w:rsidRPr="00147675">
        <w:t>基于对未来周期的不同路径假设，构建多种估值情景。</w:t>
      </w:r>
    </w:p>
    <w:p w14:paraId="4E7F0ABE" w14:textId="77777777" w:rsidR="00147675" w:rsidRPr="00147675" w:rsidRDefault="00147675" w:rsidP="00147675">
      <w:pPr>
        <w:numPr>
          <w:ilvl w:val="1"/>
          <w:numId w:val="10"/>
        </w:numPr>
      </w:pPr>
      <w:r w:rsidRPr="00147675">
        <w:rPr>
          <w:b/>
          <w:bCs/>
        </w:rPr>
        <w:t>基准情景：</w:t>
      </w:r>
      <w:r w:rsidRPr="00147675">
        <w:t xml:space="preserve"> 使用标准化盈利法得出的估值。</w:t>
      </w:r>
    </w:p>
    <w:p w14:paraId="7ACC087E" w14:textId="77777777" w:rsidR="00147675" w:rsidRPr="00147675" w:rsidRDefault="00147675" w:rsidP="00147675">
      <w:pPr>
        <w:numPr>
          <w:ilvl w:val="1"/>
          <w:numId w:val="10"/>
        </w:numPr>
      </w:pPr>
      <w:r w:rsidRPr="00147675">
        <w:rPr>
          <w:b/>
          <w:bCs/>
        </w:rPr>
        <w:t>乐观情景：</w:t>
      </w:r>
      <w:r w:rsidRPr="00147675">
        <w:t xml:space="preserve"> 模拟一个比预期更强劲的周期复苏，上调未来盈利预测。</w:t>
      </w:r>
    </w:p>
    <w:p w14:paraId="006EB214" w14:textId="77777777" w:rsidR="00147675" w:rsidRPr="00147675" w:rsidRDefault="00147675" w:rsidP="00147675">
      <w:pPr>
        <w:numPr>
          <w:ilvl w:val="1"/>
          <w:numId w:val="10"/>
        </w:numPr>
      </w:pPr>
      <w:r w:rsidRPr="00147675">
        <w:rPr>
          <w:b/>
          <w:bCs/>
        </w:rPr>
        <w:t>悲观情景：</w:t>
      </w:r>
      <w:r w:rsidRPr="00147675">
        <w:t xml:space="preserve"> 模拟一个比预期更深、更长的经济衰退，下调未来盈利预测。</w:t>
      </w:r>
    </w:p>
    <w:p w14:paraId="31B256C0" w14:textId="77777777" w:rsidR="00147675" w:rsidRPr="00147675" w:rsidRDefault="00147675" w:rsidP="00147675">
      <w:pPr>
        <w:numPr>
          <w:ilvl w:val="1"/>
          <w:numId w:val="10"/>
        </w:numPr>
      </w:pPr>
      <w:r w:rsidRPr="00147675">
        <w:t xml:space="preserve">通过情景分析，可以得出一个合理的内在价值区间，并评估当前股价的安全边际 。   </w:t>
      </w:r>
    </w:p>
    <w:p w14:paraId="21B6C10B" w14:textId="77777777" w:rsidR="00147675" w:rsidRPr="00147675" w:rsidRDefault="00147675" w:rsidP="00147675">
      <w:pPr>
        <w:rPr>
          <w:b/>
          <w:bCs/>
        </w:rPr>
      </w:pPr>
      <w:r w:rsidRPr="00147675">
        <w:rPr>
          <w:b/>
          <w:bCs/>
        </w:rPr>
        <w:t>第四部分：综合、批判与未来应用</w:t>
      </w:r>
    </w:p>
    <w:p w14:paraId="7B18984C" w14:textId="77777777" w:rsidR="00147675" w:rsidRPr="00147675" w:rsidRDefault="00147675" w:rsidP="00147675">
      <w:r w:rsidRPr="00147675">
        <w:t>本部分将整个框架进行提炼总结，并辅以必要的批判性视角，最后展望其在未来的应用，以构成一个完整而客观的分析报告。</w:t>
      </w:r>
    </w:p>
    <w:p w14:paraId="7997A73C" w14:textId="77777777" w:rsidR="00147675" w:rsidRPr="00147675" w:rsidRDefault="00147675" w:rsidP="00147675">
      <w:pPr>
        <w:rPr>
          <w:b/>
          <w:bCs/>
        </w:rPr>
      </w:pPr>
      <w:r w:rsidRPr="00147675">
        <w:rPr>
          <w:b/>
          <w:bCs/>
        </w:rPr>
        <w:t>4.1 完整工作流程：可供执行的总结清单</w:t>
      </w:r>
    </w:p>
    <w:p w14:paraId="49F7A88D" w14:textId="77777777" w:rsidR="00147675" w:rsidRPr="00147675" w:rsidRDefault="00147675" w:rsidP="00147675">
      <w:r w:rsidRPr="00147675">
        <w:t>为了将前述复杂的分析过程转化为一个清晰、可执行的指南，以下流程图总结了从宏观到微观的完整研究步骤。该流程图可作为人工智能系统进行编程的核心逻辑蓝图。</w:t>
      </w:r>
    </w:p>
    <w:p w14:paraId="3D09F786" w14:textId="77777777" w:rsidR="00147675" w:rsidRPr="00147675" w:rsidRDefault="00147675" w:rsidP="00147675">
      <w:r w:rsidRPr="00147675">
        <w:rPr>
          <w:b/>
          <w:bCs/>
        </w:rPr>
        <w:t>图1：周金涛框架——可供AI执行的操作流程</w:t>
      </w:r>
    </w:p>
    <w:p w14:paraId="4269A267" w14:textId="77777777" w:rsidR="00147675" w:rsidRPr="00147675" w:rsidRDefault="00147675" w:rsidP="00147675">
      <w:r w:rsidRPr="00147675">
        <w:t>Code snippet</w:t>
      </w:r>
    </w:p>
    <w:p w14:paraId="69881146" w14:textId="77777777" w:rsidR="00147675" w:rsidRPr="00147675" w:rsidRDefault="00147675" w:rsidP="00147675">
      <w:r w:rsidRPr="00147675">
        <w:t>graph TD</w:t>
      </w:r>
    </w:p>
    <w:p w14:paraId="240B8BB0" w14:textId="77777777" w:rsidR="00147675" w:rsidRPr="00147675" w:rsidRDefault="00147675" w:rsidP="00147675">
      <w:r w:rsidRPr="00147675">
        <w:t xml:space="preserve">    A[步骤</w:t>
      </w:r>
      <w:proofErr w:type="gramStart"/>
      <w:r w:rsidRPr="00147675">
        <w:t>一</w:t>
      </w:r>
      <w:proofErr w:type="gramEnd"/>
      <w:r w:rsidRPr="00147675">
        <w:t>: 宏观周期背景分析] --&gt; B{1.1 周期阶段识别};</w:t>
      </w:r>
    </w:p>
    <w:p w14:paraId="69FAAFEF" w14:textId="77777777" w:rsidR="00147675" w:rsidRPr="00147675" w:rsidRDefault="00147675" w:rsidP="00147675">
      <w:r w:rsidRPr="00147675">
        <w:t xml:space="preserve">    B --&gt; C{1.2 宏观周期评分};</w:t>
      </w:r>
    </w:p>
    <w:p w14:paraId="513C4B39" w14:textId="77777777" w:rsidR="00147675" w:rsidRPr="00147675" w:rsidRDefault="00147675" w:rsidP="00147675">
      <w:r w:rsidRPr="00147675">
        <w:t xml:space="preserve">    C --&gt; D{1.3 确定战略偏向 (康波)};</w:t>
      </w:r>
    </w:p>
    <w:p w14:paraId="111EBD06" w14:textId="77777777" w:rsidR="00147675" w:rsidRPr="00147675" w:rsidRDefault="00147675" w:rsidP="00147675">
      <w:r w:rsidRPr="00147675">
        <w:t xml:space="preserve">    C --&gt; E{1.4 确定战术偏向 (朱格拉/基钦)};</w:t>
      </w:r>
    </w:p>
    <w:p w14:paraId="6346578F" w14:textId="77777777" w:rsidR="00147675" w:rsidRPr="00147675" w:rsidRDefault="00147675" w:rsidP="00147675"/>
    <w:p w14:paraId="1C99F4A0" w14:textId="77777777" w:rsidR="00147675" w:rsidRPr="00147675" w:rsidRDefault="00147675" w:rsidP="00147675">
      <w:r w:rsidRPr="00147675">
        <w:t xml:space="preserve">    subgraph "宏观分析 (Macro Analysis)"</w:t>
      </w:r>
    </w:p>
    <w:p w14:paraId="594A5246" w14:textId="77777777" w:rsidR="00147675" w:rsidRPr="00147675" w:rsidRDefault="00147675" w:rsidP="00147675">
      <w:r w:rsidRPr="00147675">
        <w:t xml:space="preserve">        A</w:t>
      </w:r>
    </w:p>
    <w:p w14:paraId="13433175" w14:textId="77777777" w:rsidR="00147675" w:rsidRPr="00147675" w:rsidRDefault="00147675" w:rsidP="00147675">
      <w:r w:rsidRPr="00147675">
        <w:t xml:space="preserve">        B</w:t>
      </w:r>
    </w:p>
    <w:p w14:paraId="13CD09CF" w14:textId="77777777" w:rsidR="00147675" w:rsidRPr="00147675" w:rsidRDefault="00147675" w:rsidP="00147675">
      <w:r w:rsidRPr="00147675">
        <w:t xml:space="preserve">        C</w:t>
      </w:r>
    </w:p>
    <w:p w14:paraId="3BFDF56F" w14:textId="77777777" w:rsidR="00147675" w:rsidRPr="00147675" w:rsidRDefault="00147675" w:rsidP="00147675">
      <w:r w:rsidRPr="00147675">
        <w:t xml:space="preserve">        D</w:t>
      </w:r>
    </w:p>
    <w:p w14:paraId="18BD75C0" w14:textId="77777777" w:rsidR="00147675" w:rsidRPr="00147675" w:rsidRDefault="00147675" w:rsidP="00147675">
      <w:r w:rsidRPr="00147675">
        <w:t xml:space="preserve">        E</w:t>
      </w:r>
    </w:p>
    <w:p w14:paraId="375AF2BC" w14:textId="77777777" w:rsidR="00147675" w:rsidRPr="00147675" w:rsidRDefault="00147675" w:rsidP="00147675">
      <w:r w:rsidRPr="00147675">
        <w:t xml:space="preserve">    end</w:t>
      </w:r>
    </w:p>
    <w:p w14:paraId="371EE1AD" w14:textId="77777777" w:rsidR="00147675" w:rsidRPr="00147675" w:rsidRDefault="00147675" w:rsidP="00147675"/>
    <w:p w14:paraId="36C47959" w14:textId="77777777" w:rsidR="00147675" w:rsidRPr="00147675" w:rsidRDefault="00147675" w:rsidP="00147675">
      <w:r w:rsidRPr="00147675">
        <w:t xml:space="preserve">    E --&gt; F[步骤二: 行业与板块分析];</w:t>
      </w:r>
    </w:p>
    <w:p w14:paraId="2A701A75" w14:textId="77777777" w:rsidR="00147675" w:rsidRPr="00147675" w:rsidRDefault="00147675" w:rsidP="00147675">
      <w:r w:rsidRPr="00147675">
        <w:t xml:space="preserve">    F --&gt; G{2.1 筛选优势行业};</w:t>
      </w:r>
    </w:p>
    <w:p w14:paraId="29B3CD27" w14:textId="77777777" w:rsidR="00147675" w:rsidRPr="00147675" w:rsidRDefault="00147675" w:rsidP="00147675">
      <w:r w:rsidRPr="00147675">
        <w:t xml:space="preserve">    G --&gt; H{2.2 行业周期性分类};</w:t>
      </w:r>
    </w:p>
    <w:p w14:paraId="71D2120E" w14:textId="77777777" w:rsidR="00147675" w:rsidRPr="00147675" w:rsidRDefault="00147675" w:rsidP="00147675">
      <w:r w:rsidRPr="00147675">
        <w:t xml:space="preserve">    H --&gt; I{2.3 分析行业内部动态};</w:t>
      </w:r>
    </w:p>
    <w:p w14:paraId="230B8877" w14:textId="77777777" w:rsidR="00147675" w:rsidRPr="00147675" w:rsidRDefault="00147675" w:rsidP="00147675"/>
    <w:p w14:paraId="0C7F0DEF" w14:textId="77777777" w:rsidR="00147675" w:rsidRPr="00147675" w:rsidRDefault="00147675" w:rsidP="00147675">
      <w:r w:rsidRPr="00147675">
        <w:t xml:space="preserve">    subgraph "中观分析 (</w:t>
      </w:r>
      <w:proofErr w:type="spellStart"/>
      <w:r w:rsidRPr="00147675">
        <w:t>Meso</w:t>
      </w:r>
      <w:proofErr w:type="spellEnd"/>
      <w:r w:rsidRPr="00147675">
        <w:t xml:space="preserve"> Analysis)"</w:t>
      </w:r>
    </w:p>
    <w:p w14:paraId="01462EFE" w14:textId="77777777" w:rsidR="00147675" w:rsidRPr="00147675" w:rsidRDefault="00147675" w:rsidP="00147675">
      <w:r w:rsidRPr="00147675">
        <w:t xml:space="preserve">        F</w:t>
      </w:r>
    </w:p>
    <w:p w14:paraId="7C857D58" w14:textId="77777777" w:rsidR="00147675" w:rsidRPr="00147675" w:rsidRDefault="00147675" w:rsidP="00147675">
      <w:r w:rsidRPr="00147675">
        <w:t xml:space="preserve">        G</w:t>
      </w:r>
    </w:p>
    <w:p w14:paraId="28268638" w14:textId="77777777" w:rsidR="00147675" w:rsidRPr="00147675" w:rsidRDefault="00147675" w:rsidP="00147675">
      <w:r w:rsidRPr="00147675">
        <w:t xml:space="preserve">        H</w:t>
      </w:r>
    </w:p>
    <w:p w14:paraId="68F7CAEA" w14:textId="77777777" w:rsidR="00147675" w:rsidRPr="00147675" w:rsidRDefault="00147675" w:rsidP="00147675">
      <w:r w:rsidRPr="00147675">
        <w:t xml:space="preserve">        I</w:t>
      </w:r>
    </w:p>
    <w:p w14:paraId="0530522C" w14:textId="77777777" w:rsidR="00147675" w:rsidRPr="00147675" w:rsidRDefault="00147675" w:rsidP="00147675">
      <w:r w:rsidRPr="00147675">
        <w:lastRenderedPageBreak/>
        <w:t xml:space="preserve">    end</w:t>
      </w:r>
    </w:p>
    <w:p w14:paraId="29CD0953" w14:textId="77777777" w:rsidR="00147675" w:rsidRPr="00147675" w:rsidRDefault="00147675" w:rsidP="00147675"/>
    <w:p w14:paraId="39EB767E" w14:textId="77777777" w:rsidR="00147675" w:rsidRPr="00147675" w:rsidRDefault="00147675" w:rsidP="00147675">
      <w:r w:rsidRPr="00147675">
        <w:t xml:space="preserve">    I --&gt; J[步骤三: </w:t>
      </w:r>
      <w:proofErr w:type="gramStart"/>
      <w:r w:rsidRPr="00147675">
        <w:t>个股分</w:t>
      </w:r>
      <w:proofErr w:type="gramEnd"/>
      <w:r w:rsidRPr="00147675">
        <w:t>析];</w:t>
      </w:r>
    </w:p>
    <w:p w14:paraId="192D823D" w14:textId="77777777" w:rsidR="00147675" w:rsidRPr="00147675" w:rsidRDefault="00147675" w:rsidP="00147675">
      <w:r w:rsidRPr="00147675">
        <w:t xml:space="preserve">    J --&gt; K{3.1 财务稳健性评估};</w:t>
      </w:r>
    </w:p>
    <w:p w14:paraId="01EA1610" w14:textId="77777777" w:rsidR="00147675" w:rsidRPr="00147675" w:rsidRDefault="00147675" w:rsidP="00147675">
      <w:r w:rsidRPr="00147675">
        <w:t xml:space="preserve">    K --&gt; L{3.2 管理层周期认知评估};</w:t>
      </w:r>
    </w:p>
    <w:p w14:paraId="0C5D0443" w14:textId="77777777" w:rsidR="00147675" w:rsidRPr="00147675" w:rsidRDefault="00147675" w:rsidP="00147675"/>
    <w:p w14:paraId="67792467" w14:textId="77777777" w:rsidR="00147675" w:rsidRPr="00147675" w:rsidRDefault="00147675" w:rsidP="00147675">
      <w:r w:rsidRPr="00147675">
        <w:t xml:space="preserve">    subgraph "微观分析 (Micro Analysis)"</w:t>
      </w:r>
    </w:p>
    <w:p w14:paraId="2D767EBE" w14:textId="77777777" w:rsidR="00147675" w:rsidRPr="00147675" w:rsidRDefault="00147675" w:rsidP="00147675">
      <w:r w:rsidRPr="00147675">
        <w:t xml:space="preserve">        J</w:t>
      </w:r>
    </w:p>
    <w:p w14:paraId="35E908D4" w14:textId="77777777" w:rsidR="00147675" w:rsidRPr="00147675" w:rsidRDefault="00147675" w:rsidP="00147675">
      <w:r w:rsidRPr="00147675">
        <w:t xml:space="preserve">        K</w:t>
      </w:r>
    </w:p>
    <w:p w14:paraId="480483A2" w14:textId="77777777" w:rsidR="00147675" w:rsidRPr="00147675" w:rsidRDefault="00147675" w:rsidP="00147675">
      <w:r w:rsidRPr="00147675">
        <w:t xml:space="preserve">        L</w:t>
      </w:r>
    </w:p>
    <w:p w14:paraId="703AB6CA" w14:textId="77777777" w:rsidR="00147675" w:rsidRPr="00147675" w:rsidRDefault="00147675" w:rsidP="00147675">
      <w:r w:rsidRPr="00147675">
        <w:t xml:space="preserve">    end</w:t>
      </w:r>
    </w:p>
    <w:p w14:paraId="17835487" w14:textId="77777777" w:rsidR="00147675" w:rsidRPr="00147675" w:rsidRDefault="00147675" w:rsidP="00147675"/>
    <w:p w14:paraId="244E7D4F" w14:textId="77777777" w:rsidR="00147675" w:rsidRPr="00147675" w:rsidRDefault="00147675" w:rsidP="00147675">
      <w:r w:rsidRPr="00147675">
        <w:t xml:space="preserve">    L --&gt; M[步骤四: 周期调整后估值];</w:t>
      </w:r>
    </w:p>
    <w:p w14:paraId="722A175D" w14:textId="77777777" w:rsidR="00147675" w:rsidRPr="00147675" w:rsidRDefault="00147675" w:rsidP="00147675">
      <w:r w:rsidRPr="00147675">
        <w:t xml:space="preserve">    M --&gt; N{4.1 摒弃时点市盈率};</w:t>
      </w:r>
    </w:p>
    <w:p w14:paraId="53CF388E" w14:textId="77777777" w:rsidR="00147675" w:rsidRPr="00147675" w:rsidRDefault="00147675" w:rsidP="00147675">
      <w:r w:rsidRPr="00147675">
        <w:t xml:space="preserve">    N --&gt; O{4.2 盈利标准化};</w:t>
      </w:r>
    </w:p>
    <w:p w14:paraId="4FB97D78" w14:textId="77777777" w:rsidR="00147675" w:rsidRPr="00147675" w:rsidRDefault="00147675" w:rsidP="00147675">
      <w:r w:rsidRPr="00147675">
        <w:t xml:space="preserve">    O --&gt; P{4.3 应用标准化估值};</w:t>
      </w:r>
    </w:p>
    <w:p w14:paraId="1A0F554A" w14:textId="77777777" w:rsidR="00147675" w:rsidRPr="00147675" w:rsidRDefault="00147675" w:rsidP="00147675">
      <w:r w:rsidRPr="00147675">
        <w:t xml:space="preserve">    P --&gt; Q{4.4 情景分析};</w:t>
      </w:r>
    </w:p>
    <w:p w14:paraId="5947B28D" w14:textId="77777777" w:rsidR="00147675" w:rsidRPr="00147675" w:rsidRDefault="00147675" w:rsidP="00147675"/>
    <w:p w14:paraId="2E99ADAE" w14:textId="77777777" w:rsidR="00147675" w:rsidRPr="00147675" w:rsidRDefault="00147675" w:rsidP="00147675">
      <w:r w:rsidRPr="00147675">
        <w:t xml:space="preserve">    subgraph "估值与决策 (Valuation &amp; Decision)"</w:t>
      </w:r>
    </w:p>
    <w:p w14:paraId="58A8B99C" w14:textId="77777777" w:rsidR="00147675" w:rsidRPr="00147675" w:rsidRDefault="00147675" w:rsidP="00147675">
      <w:r w:rsidRPr="00147675">
        <w:t xml:space="preserve">        M</w:t>
      </w:r>
    </w:p>
    <w:p w14:paraId="5BE587DC" w14:textId="77777777" w:rsidR="00147675" w:rsidRPr="00147675" w:rsidRDefault="00147675" w:rsidP="00147675">
      <w:r w:rsidRPr="00147675">
        <w:t xml:space="preserve">        N</w:t>
      </w:r>
    </w:p>
    <w:p w14:paraId="0F99FC3C" w14:textId="77777777" w:rsidR="00147675" w:rsidRPr="00147675" w:rsidRDefault="00147675" w:rsidP="00147675">
      <w:r w:rsidRPr="00147675">
        <w:t xml:space="preserve">        O</w:t>
      </w:r>
    </w:p>
    <w:p w14:paraId="216E4032" w14:textId="77777777" w:rsidR="00147675" w:rsidRPr="00147675" w:rsidRDefault="00147675" w:rsidP="00147675">
      <w:r w:rsidRPr="00147675">
        <w:t xml:space="preserve">        P</w:t>
      </w:r>
    </w:p>
    <w:p w14:paraId="1DA1930F" w14:textId="77777777" w:rsidR="00147675" w:rsidRPr="00147675" w:rsidRDefault="00147675" w:rsidP="00147675">
      <w:r w:rsidRPr="00147675">
        <w:t xml:space="preserve">        Q</w:t>
      </w:r>
    </w:p>
    <w:p w14:paraId="5A937892" w14:textId="77777777" w:rsidR="00147675" w:rsidRPr="00147675" w:rsidRDefault="00147675" w:rsidP="00147675">
      <w:r w:rsidRPr="00147675">
        <w:t xml:space="preserve">    end</w:t>
      </w:r>
    </w:p>
    <w:p w14:paraId="668555E0" w14:textId="77777777" w:rsidR="00147675" w:rsidRPr="00147675" w:rsidRDefault="00147675" w:rsidP="00147675"/>
    <w:p w14:paraId="243C4E3D" w14:textId="77777777" w:rsidR="00147675" w:rsidRPr="00147675" w:rsidRDefault="00147675" w:rsidP="00147675">
      <w:r w:rsidRPr="00147675">
        <w:t xml:space="preserve">    Q --&gt; R[最终决策: 买入/持有/卖出];</w:t>
      </w:r>
    </w:p>
    <w:p w14:paraId="38924829" w14:textId="77777777" w:rsidR="00147675" w:rsidRPr="00147675" w:rsidRDefault="00147675" w:rsidP="00147675">
      <w:pPr>
        <w:rPr>
          <w:b/>
          <w:bCs/>
        </w:rPr>
      </w:pPr>
      <w:r w:rsidRPr="00147675">
        <w:rPr>
          <w:b/>
          <w:bCs/>
        </w:rPr>
        <w:t>4.2 批判性视角与框架的局限性</w:t>
      </w:r>
    </w:p>
    <w:p w14:paraId="5EE72A1B" w14:textId="77777777" w:rsidR="00147675" w:rsidRPr="00147675" w:rsidRDefault="00147675" w:rsidP="00147675">
      <w:r w:rsidRPr="00147675">
        <w:t>任何理论框架都有其适用边界和潜在缺陷。一个客观的评估必须承认周金涛周期框架面临的挑战和批评。</w:t>
      </w:r>
    </w:p>
    <w:p w14:paraId="65472626" w14:textId="77777777" w:rsidR="00147675" w:rsidRPr="00147675" w:rsidRDefault="00147675" w:rsidP="00147675">
      <w:pPr>
        <w:numPr>
          <w:ilvl w:val="0"/>
          <w:numId w:val="11"/>
        </w:numPr>
      </w:pPr>
      <w:r w:rsidRPr="00147675">
        <w:rPr>
          <w:b/>
          <w:bCs/>
        </w:rPr>
        <w:t>统计幻觉（Apophenia）：</w:t>
      </w:r>
      <w:r w:rsidRPr="00147675">
        <w:t xml:space="preserve"> 对长波理论最根本的批评之一是，所谓的康德拉季耶夫周期可能只是一种统计幻觉，是在随机数据中识别出本不存在的模式。著名的“斯卢茨基-尤尔效应”（Slutsky-Yule Effect）在数学上证明，对时间序列数据进行移动平均等平滑处理，本身就会凭空创造出虚假的周期性波动 。   </w:t>
      </w:r>
    </w:p>
    <w:p w14:paraId="758F5F8F" w14:textId="77777777" w:rsidR="00147675" w:rsidRPr="00147675" w:rsidRDefault="00147675" w:rsidP="00147675">
      <w:pPr>
        <w:numPr>
          <w:ilvl w:val="0"/>
          <w:numId w:val="11"/>
        </w:numPr>
      </w:pPr>
      <w:r w:rsidRPr="00147675">
        <w:rPr>
          <w:b/>
          <w:bCs/>
        </w:rPr>
        <w:t>政府干预的扭曲：</w:t>
      </w:r>
      <w:r w:rsidRPr="00147675">
        <w:t xml:space="preserve"> 周金涛的理论建立在资本主义经济内生性波动的基础上。然而，自2008年金融危机以来，全球各国央行和政府采取了规模空前的逆周期调节政策，如量化宽松（QE）和大规模财政刺激。这些强力干预可能会拉长、缩短甚至打破历史上的周期规律，使其变得难以预测 。   </w:t>
      </w:r>
    </w:p>
    <w:p w14:paraId="1851F666" w14:textId="77777777" w:rsidR="00147675" w:rsidRPr="00147675" w:rsidRDefault="00147675" w:rsidP="00147675">
      <w:pPr>
        <w:numPr>
          <w:ilvl w:val="0"/>
          <w:numId w:val="11"/>
        </w:numPr>
      </w:pPr>
      <w:r w:rsidRPr="00147675">
        <w:rPr>
          <w:b/>
          <w:bCs/>
        </w:rPr>
        <w:t>缺乏共识与可证伪性：</w:t>
      </w:r>
      <w:r w:rsidRPr="00147675">
        <w:t xml:space="preserve"> 即使在长波理论的支持者内部，对于每一轮波动的确切起止时间、核心驱动力等问题也存在巨大分歧。这使得该理论难以被科学地验证或证伪，有时更像是一种“玄学”或历史叙事，而非严谨的科学理论 。   </w:t>
      </w:r>
    </w:p>
    <w:p w14:paraId="1B666DDD" w14:textId="77777777" w:rsidR="00147675" w:rsidRPr="00147675" w:rsidRDefault="00147675" w:rsidP="00147675">
      <w:pPr>
        <w:numPr>
          <w:ilvl w:val="0"/>
          <w:numId w:val="11"/>
        </w:numPr>
      </w:pPr>
      <w:r w:rsidRPr="00147675">
        <w:rPr>
          <w:b/>
          <w:bCs/>
        </w:rPr>
        <w:t>“黑天鹅”事件的冲击：</w:t>
      </w:r>
      <w:r w:rsidRPr="00147675">
        <w:t xml:space="preserve"> 周期框架本质上是确定性的，它试图在历史规律中寻找未来的轨迹。然而，它很难充分解释和应对无法预测的外部冲击，例如全球性疫情、大规模地缘政治冲突等。这些“黑天鹅”事件可能在瞬间重置全球经济的运行轨迹，使原</w:t>
      </w:r>
      <w:r w:rsidRPr="00147675">
        <w:lastRenderedPageBreak/>
        <w:t xml:space="preserve">有的周期判断失效 。   </w:t>
      </w:r>
    </w:p>
    <w:p w14:paraId="439183B6" w14:textId="77777777" w:rsidR="00147675" w:rsidRPr="00147675" w:rsidRDefault="00147675" w:rsidP="00147675">
      <w:pPr>
        <w:rPr>
          <w:b/>
          <w:bCs/>
        </w:rPr>
      </w:pPr>
      <w:r w:rsidRPr="00147675">
        <w:rPr>
          <w:b/>
          <w:bCs/>
        </w:rPr>
        <w:t>4.3 第六次浪潮及未来：框架的前瞻性应用</w:t>
      </w:r>
    </w:p>
    <w:p w14:paraId="4076C172" w14:textId="77777777" w:rsidR="00147675" w:rsidRPr="00147675" w:rsidRDefault="00147675" w:rsidP="00147675">
      <w:r w:rsidRPr="00147675">
        <w:t>尽管存在上述批评，周金涛的框架依然为我们思考未来提供了一个有力的透镜。根据其理论，每</w:t>
      </w:r>
      <w:proofErr w:type="gramStart"/>
      <w:r w:rsidRPr="00147675">
        <w:t>一轮康波都</w:t>
      </w:r>
      <w:proofErr w:type="gramEnd"/>
      <w:r w:rsidRPr="00147675">
        <w:t>由一种新的通用技术所驱动，那么驱动</w:t>
      </w:r>
      <w:proofErr w:type="gramStart"/>
      <w:r w:rsidRPr="00147675">
        <w:t>第六次康波的</w:t>
      </w:r>
      <w:proofErr w:type="gramEnd"/>
      <w:r w:rsidRPr="00147675">
        <w:t>引擎会是什么？</w:t>
      </w:r>
    </w:p>
    <w:p w14:paraId="26E81492" w14:textId="77777777" w:rsidR="00147675" w:rsidRPr="00147675" w:rsidRDefault="00147675" w:rsidP="00147675">
      <w:pPr>
        <w:numPr>
          <w:ilvl w:val="0"/>
          <w:numId w:val="12"/>
        </w:numPr>
      </w:pPr>
      <w:r w:rsidRPr="00147675">
        <w:rPr>
          <w:b/>
          <w:bCs/>
        </w:rPr>
        <w:t>识别下一轮驱动力：</w:t>
      </w:r>
      <w:r w:rsidRPr="00147675">
        <w:t xml:space="preserve"> 当前，全球经济正处于</w:t>
      </w:r>
      <w:proofErr w:type="gramStart"/>
      <w:r w:rsidRPr="00147675">
        <w:t>第五次康波的</w:t>
      </w:r>
      <w:proofErr w:type="gramEnd"/>
      <w:r w:rsidRPr="00147675">
        <w:t>萧条期，这也是孕育下一次技术革命的时期。市场普遍认为，有几个领域最有潜力成为</w:t>
      </w:r>
      <w:proofErr w:type="gramStart"/>
      <w:r w:rsidRPr="00147675">
        <w:t>第六次康波的</w:t>
      </w:r>
      <w:proofErr w:type="gramEnd"/>
      <w:r w:rsidRPr="00147675">
        <w:t>核心驱动力，包括</w:t>
      </w:r>
      <w:r w:rsidRPr="00147675">
        <w:rPr>
          <w:b/>
          <w:bCs/>
        </w:rPr>
        <w:t>人工智能（AI）与机器学习、生物技术与基因编辑、以及绿色能源与全球脱碳</w:t>
      </w:r>
      <w:r w:rsidRPr="00147675">
        <w:t xml:space="preserve"> 。这些技术都具备渗透到经济各个领域、并从根本上提升生产效率的潜力。   </w:t>
      </w:r>
    </w:p>
    <w:p w14:paraId="3069FCEE" w14:textId="77777777" w:rsidR="00147675" w:rsidRPr="00147675" w:rsidRDefault="00147675" w:rsidP="00147675">
      <w:pPr>
        <w:numPr>
          <w:ilvl w:val="0"/>
          <w:numId w:val="12"/>
        </w:numPr>
      </w:pPr>
      <w:r w:rsidRPr="00147675">
        <w:rPr>
          <w:b/>
          <w:bCs/>
        </w:rPr>
        <w:t>展望下一轮繁荣：</w:t>
      </w:r>
      <w:r w:rsidRPr="00147675">
        <w:t xml:space="preserve"> 如果上述技术成为新的引擎，那么下</w:t>
      </w:r>
      <w:proofErr w:type="gramStart"/>
      <w:r w:rsidRPr="00147675">
        <w:t>一轮康波的</w:t>
      </w:r>
      <w:proofErr w:type="gramEnd"/>
      <w:r w:rsidRPr="00147675">
        <w:t xml:space="preserve">“繁荣期”可能会呈现出与信息技术时代截然不同的特征。例如，AI可能带来知识工作的自动化，生物技术可能颠覆医疗和农业，而绿色能源则会重塑全球的能源和地缘政治格局。理解这些新技术的特性——它们的资本密集度、对劳动力市场的影响、以及对社会公平的潜在冲击——将是应用周期框架预测未来趋势的关键 。   </w:t>
      </w:r>
    </w:p>
    <w:p w14:paraId="6D1912C5" w14:textId="77777777" w:rsidR="00147675" w:rsidRPr="00147675" w:rsidRDefault="00147675" w:rsidP="00147675">
      <w:pPr>
        <w:rPr>
          <w:b/>
          <w:bCs/>
        </w:rPr>
      </w:pPr>
      <w:r w:rsidRPr="00147675">
        <w:rPr>
          <w:b/>
          <w:bCs/>
        </w:rPr>
        <w:t>结论</w:t>
      </w:r>
    </w:p>
    <w:p w14:paraId="75F20760" w14:textId="77777777" w:rsidR="00147675" w:rsidRPr="00147675" w:rsidRDefault="00147675" w:rsidP="00147675">
      <w:r w:rsidRPr="00147675">
        <w:t>周金涛的周期框架，以“人生发财靠康波”为哲学起点，构建了一个从康波、库兹涅茨、朱格拉</w:t>
      </w:r>
      <w:proofErr w:type="gramStart"/>
      <w:r w:rsidRPr="00147675">
        <w:t>到基钦的</w:t>
      </w:r>
      <w:proofErr w:type="gramEnd"/>
      <w:r w:rsidRPr="00147675">
        <w:t>四周期嵌套模型。它提供了一套自上而下的、系统的宏观分析、资产配置、行业轮动、公司筛选和周期性估值的完整方法论。</w:t>
      </w:r>
    </w:p>
    <w:p w14:paraId="6111D8CC" w14:textId="77777777" w:rsidR="00147675" w:rsidRPr="00147675" w:rsidRDefault="00147675" w:rsidP="00147675">
      <w:r w:rsidRPr="00147675">
        <w:t>尽管该框架因其决定论色彩和对历史规律的依赖而面临诸多理论和现实的挑战，但其核心价值并不在于对未来的精确预测。其真正的力量在于，它为投资者提供了一个强大而连贯的思维模型，迫使其：</w:t>
      </w:r>
    </w:p>
    <w:p w14:paraId="04B6EBBF" w14:textId="77777777" w:rsidR="00147675" w:rsidRPr="00147675" w:rsidRDefault="00147675" w:rsidP="00147675">
      <w:pPr>
        <w:numPr>
          <w:ilvl w:val="0"/>
          <w:numId w:val="13"/>
        </w:numPr>
      </w:pPr>
      <w:r w:rsidRPr="00147675">
        <w:rPr>
          <w:b/>
          <w:bCs/>
        </w:rPr>
        <w:t>具备宏观视野：</w:t>
      </w:r>
      <w:r w:rsidRPr="00147675">
        <w:t xml:space="preserve"> 始终将投资决策置于宏大的经济周期背景之下。</w:t>
      </w:r>
    </w:p>
    <w:p w14:paraId="787EA57F" w14:textId="77777777" w:rsidR="00147675" w:rsidRPr="00147675" w:rsidRDefault="00147675" w:rsidP="00147675">
      <w:pPr>
        <w:numPr>
          <w:ilvl w:val="0"/>
          <w:numId w:val="13"/>
        </w:numPr>
      </w:pPr>
      <w:r w:rsidRPr="00147675">
        <w:rPr>
          <w:b/>
          <w:bCs/>
        </w:rPr>
        <w:t>理解周期性：</w:t>
      </w:r>
      <w:r w:rsidRPr="00147675">
        <w:t xml:space="preserve"> 认识到不同资产和行业在周期不同阶段的系统性表现差异。</w:t>
      </w:r>
    </w:p>
    <w:p w14:paraId="2D9FF24C" w14:textId="77777777" w:rsidR="00147675" w:rsidRPr="00147675" w:rsidRDefault="00147675" w:rsidP="00147675">
      <w:pPr>
        <w:numPr>
          <w:ilvl w:val="0"/>
          <w:numId w:val="13"/>
        </w:numPr>
      </w:pPr>
      <w:r w:rsidRPr="00147675">
        <w:rPr>
          <w:b/>
          <w:bCs/>
        </w:rPr>
        <w:t>保持长期耐心：</w:t>
      </w:r>
      <w:r w:rsidRPr="00147675">
        <w:t xml:space="preserve"> 懂得在周期的漫长流转中等待真正重大的机遇。</w:t>
      </w:r>
    </w:p>
    <w:p w14:paraId="6C1F1C82" w14:textId="77777777" w:rsidR="00147675" w:rsidRPr="00147675" w:rsidRDefault="00147675" w:rsidP="00147675">
      <w:pPr>
        <w:numPr>
          <w:ilvl w:val="0"/>
          <w:numId w:val="13"/>
        </w:numPr>
      </w:pPr>
      <w:r w:rsidRPr="00147675">
        <w:rPr>
          <w:b/>
          <w:bCs/>
        </w:rPr>
        <w:t>进行纪律性估值：</w:t>
      </w:r>
      <w:r w:rsidRPr="00147675">
        <w:t xml:space="preserve"> 采用穿越周期的视角来评估公司的真实价值，避免在周期的顶点和谷底犯下致命的错误。</w:t>
      </w:r>
    </w:p>
    <w:p w14:paraId="00958B56" w14:textId="77777777" w:rsidR="00147675" w:rsidRPr="00147675" w:rsidRDefault="00147675" w:rsidP="00147675">
      <w:r w:rsidRPr="00147675">
        <w:t>对于旨在实现系统化、纪律</w:t>
      </w:r>
      <w:proofErr w:type="gramStart"/>
      <w:r w:rsidRPr="00147675">
        <w:t>化投资</w:t>
      </w:r>
      <w:proofErr w:type="gramEnd"/>
      <w:r w:rsidRPr="00147675">
        <w:t>的人工智能系统而言，周金涛的框架提供了一份极其宝贵的蓝图。它将复杂的经济现象简化为可识别、可分析、可操作的步骤，将投资从一门艺术，向一门有规律可循的科学推进了一大步。最终，无论是人类投资者还是人工智能，通过学习和应用这一框架，都能够更好地理解经济的“宿命”，并做出更明智的“反抗”。</w:t>
      </w:r>
    </w:p>
    <w:p w14:paraId="79BD933E" w14:textId="77777777" w:rsidR="00147675" w:rsidRDefault="00147675">
      <w:pPr>
        <w:rPr>
          <w:rFonts w:hint="eastAsia"/>
        </w:rPr>
      </w:pPr>
    </w:p>
    <w:sectPr w:rsidR="001476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2D2"/>
    <w:multiLevelType w:val="multilevel"/>
    <w:tmpl w:val="9D7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08B9"/>
    <w:multiLevelType w:val="multilevel"/>
    <w:tmpl w:val="BB94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3EAE"/>
    <w:multiLevelType w:val="multilevel"/>
    <w:tmpl w:val="9C16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76C7D"/>
    <w:multiLevelType w:val="multilevel"/>
    <w:tmpl w:val="9636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C0F3B"/>
    <w:multiLevelType w:val="multilevel"/>
    <w:tmpl w:val="EB04B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F61D1"/>
    <w:multiLevelType w:val="multilevel"/>
    <w:tmpl w:val="C796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C20BA"/>
    <w:multiLevelType w:val="multilevel"/>
    <w:tmpl w:val="6A70A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63F30"/>
    <w:multiLevelType w:val="multilevel"/>
    <w:tmpl w:val="9034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0537F"/>
    <w:multiLevelType w:val="multilevel"/>
    <w:tmpl w:val="F852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369F7"/>
    <w:multiLevelType w:val="multilevel"/>
    <w:tmpl w:val="E1E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952A0"/>
    <w:multiLevelType w:val="multilevel"/>
    <w:tmpl w:val="199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74124"/>
    <w:multiLevelType w:val="multilevel"/>
    <w:tmpl w:val="8A7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E673E"/>
    <w:multiLevelType w:val="multilevel"/>
    <w:tmpl w:val="00668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773195">
    <w:abstractNumId w:val="8"/>
  </w:num>
  <w:num w:numId="2" w16cid:durableId="61368890">
    <w:abstractNumId w:val="7"/>
  </w:num>
  <w:num w:numId="3" w16cid:durableId="1436946302">
    <w:abstractNumId w:val="10"/>
  </w:num>
  <w:num w:numId="4" w16cid:durableId="706687501">
    <w:abstractNumId w:val="1"/>
  </w:num>
  <w:num w:numId="5" w16cid:durableId="1048336769">
    <w:abstractNumId w:val="11"/>
  </w:num>
  <w:num w:numId="6" w16cid:durableId="111093832">
    <w:abstractNumId w:val="12"/>
  </w:num>
  <w:num w:numId="7" w16cid:durableId="794249544">
    <w:abstractNumId w:val="9"/>
  </w:num>
  <w:num w:numId="8" w16cid:durableId="1806045142">
    <w:abstractNumId w:val="4"/>
  </w:num>
  <w:num w:numId="9" w16cid:durableId="235751737">
    <w:abstractNumId w:val="6"/>
  </w:num>
  <w:num w:numId="10" w16cid:durableId="929436579">
    <w:abstractNumId w:val="5"/>
  </w:num>
  <w:num w:numId="11" w16cid:durableId="526648750">
    <w:abstractNumId w:val="0"/>
  </w:num>
  <w:num w:numId="12" w16cid:durableId="1863736229">
    <w:abstractNumId w:val="3"/>
  </w:num>
  <w:num w:numId="13" w16cid:durableId="212653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675"/>
    <w:rsid w:val="000A4043"/>
    <w:rsid w:val="00147675"/>
    <w:rsid w:val="0095645C"/>
    <w:rsid w:val="00E276C2"/>
    <w:rsid w:val="00FF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7E38"/>
  <w15:chartTrackingRefBased/>
  <w15:docId w15:val="{4319C897-77B7-4DF1-AD7C-CBD29558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76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476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476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476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4767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476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476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476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4767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76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476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476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47675"/>
    <w:rPr>
      <w:rFonts w:cstheme="majorBidi"/>
      <w:color w:val="0F4761" w:themeColor="accent1" w:themeShade="BF"/>
      <w:sz w:val="28"/>
      <w:szCs w:val="28"/>
    </w:rPr>
  </w:style>
  <w:style w:type="character" w:customStyle="1" w:styleId="50">
    <w:name w:val="标题 5 字符"/>
    <w:basedOn w:val="a0"/>
    <w:link w:val="5"/>
    <w:uiPriority w:val="9"/>
    <w:semiHidden/>
    <w:rsid w:val="00147675"/>
    <w:rPr>
      <w:rFonts w:cstheme="majorBidi"/>
      <w:color w:val="0F4761" w:themeColor="accent1" w:themeShade="BF"/>
      <w:sz w:val="24"/>
      <w:szCs w:val="24"/>
    </w:rPr>
  </w:style>
  <w:style w:type="character" w:customStyle="1" w:styleId="60">
    <w:name w:val="标题 6 字符"/>
    <w:basedOn w:val="a0"/>
    <w:link w:val="6"/>
    <w:uiPriority w:val="9"/>
    <w:semiHidden/>
    <w:rsid w:val="00147675"/>
    <w:rPr>
      <w:rFonts w:cstheme="majorBidi"/>
      <w:b/>
      <w:bCs/>
      <w:color w:val="0F4761" w:themeColor="accent1" w:themeShade="BF"/>
    </w:rPr>
  </w:style>
  <w:style w:type="character" w:customStyle="1" w:styleId="70">
    <w:name w:val="标题 7 字符"/>
    <w:basedOn w:val="a0"/>
    <w:link w:val="7"/>
    <w:uiPriority w:val="9"/>
    <w:semiHidden/>
    <w:rsid w:val="00147675"/>
    <w:rPr>
      <w:rFonts w:cstheme="majorBidi"/>
      <w:b/>
      <w:bCs/>
      <w:color w:val="595959" w:themeColor="text1" w:themeTint="A6"/>
    </w:rPr>
  </w:style>
  <w:style w:type="character" w:customStyle="1" w:styleId="80">
    <w:name w:val="标题 8 字符"/>
    <w:basedOn w:val="a0"/>
    <w:link w:val="8"/>
    <w:uiPriority w:val="9"/>
    <w:semiHidden/>
    <w:rsid w:val="00147675"/>
    <w:rPr>
      <w:rFonts w:cstheme="majorBidi"/>
      <w:color w:val="595959" w:themeColor="text1" w:themeTint="A6"/>
    </w:rPr>
  </w:style>
  <w:style w:type="character" w:customStyle="1" w:styleId="90">
    <w:name w:val="标题 9 字符"/>
    <w:basedOn w:val="a0"/>
    <w:link w:val="9"/>
    <w:uiPriority w:val="9"/>
    <w:semiHidden/>
    <w:rsid w:val="00147675"/>
    <w:rPr>
      <w:rFonts w:eastAsiaTheme="majorEastAsia" w:cstheme="majorBidi"/>
      <w:color w:val="595959" w:themeColor="text1" w:themeTint="A6"/>
    </w:rPr>
  </w:style>
  <w:style w:type="paragraph" w:styleId="a3">
    <w:name w:val="Title"/>
    <w:basedOn w:val="a"/>
    <w:next w:val="a"/>
    <w:link w:val="a4"/>
    <w:uiPriority w:val="10"/>
    <w:qFormat/>
    <w:rsid w:val="001476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476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76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476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7675"/>
    <w:pPr>
      <w:spacing w:before="160" w:after="160"/>
      <w:jc w:val="center"/>
    </w:pPr>
    <w:rPr>
      <w:i/>
      <w:iCs/>
      <w:color w:val="404040" w:themeColor="text1" w:themeTint="BF"/>
    </w:rPr>
  </w:style>
  <w:style w:type="character" w:customStyle="1" w:styleId="a8">
    <w:name w:val="引用 字符"/>
    <w:basedOn w:val="a0"/>
    <w:link w:val="a7"/>
    <w:uiPriority w:val="29"/>
    <w:rsid w:val="00147675"/>
    <w:rPr>
      <w:i/>
      <w:iCs/>
      <w:color w:val="404040" w:themeColor="text1" w:themeTint="BF"/>
    </w:rPr>
  </w:style>
  <w:style w:type="paragraph" w:styleId="a9">
    <w:name w:val="List Paragraph"/>
    <w:basedOn w:val="a"/>
    <w:uiPriority w:val="34"/>
    <w:qFormat/>
    <w:rsid w:val="00147675"/>
    <w:pPr>
      <w:ind w:left="720"/>
      <w:contextualSpacing/>
    </w:pPr>
  </w:style>
  <w:style w:type="character" w:styleId="aa">
    <w:name w:val="Intense Emphasis"/>
    <w:basedOn w:val="a0"/>
    <w:uiPriority w:val="21"/>
    <w:qFormat/>
    <w:rsid w:val="00147675"/>
    <w:rPr>
      <w:i/>
      <w:iCs/>
      <w:color w:val="0F4761" w:themeColor="accent1" w:themeShade="BF"/>
    </w:rPr>
  </w:style>
  <w:style w:type="paragraph" w:styleId="ab">
    <w:name w:val="Intense Quote"/>
    <w:basedOn w:val="a"/>
    <w:next w:val="a"/>
    <w:link w:val="ac"/>
    <w:uiPriority w:val="30"/>
    <w:qFormat/>
    <w:rsid w:val="00147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47675"/>
    <w:rPr>
      <w:i/>
      <w:iCs/>
      <w:color w:val="0F4761" w:themeColor="accent1" w:themeShade="BF"/>
    </w:rPr>
  </w:style>
  <w:style w:type="character" w:styleId="ad">
    <w:name w:val="Intense Reference"/>
    <w:basedOn w:val="a0"/>
    <w:uiPriority w:val="32"/>
    <w:qFormat/>
    <w:rsid w:val="00147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47537">
      <w:bodyDiv w:val="1"/>
      <w:marLeft w:val="0"/>
      <w:marRight w:val="0"/>
      <w:marTop w:val="0"/>
      <w:marBottom w:val="0"/>
      <w:divBdr>
        <w:top w:val="none" w:sz="0" w:space="0" w:color="auto"/>
        <w:left w:val="none" w:sz="0" w:space="0" w:color="auto"/>
        <w:bottom w:val="none" w:sz="0" w:space="0" w:color="auto"/>
        <w:right w:val="none" w:sz="0" w:space="0" w:color="auto"/>
      </w:divBdr>
      <w:divsChild>
        <w:div w:id="1568343950">
          <w:marLeft w:val="0"/>
          <w:marRight w:val="0"/>
          <w:marTop w:val="0"/>
          <w:marBottom w:val="0"/>
          <w:divBdr>
            <w:top w:val="none" w:sz="0" w:space="0" w:color="auto"/>
            <w:left w:val="none" w:sz="0" w:space="0" w:color="auto"/>
            <w:bottom w:val="none" w:sz="0" w:space="0" w:color="auto"/>
            <w:right w:val="none" w:sz="0" w:space="0" w:color="auto"/>
          </w:divBdr>
          <w:divsChild>
            <w:div w:id="54282701">
              <w:marLeft w:val="0"/>
              <w:marRight w:val="0"/>
              <w:marTop w:val="0"/>
              <w:marBottom w:val="0"/>
              <w:divBdr>
                <w:top w:val="none" w:sz="0" w:space="0" w:color="auto"/>
                <w:left w:val="none" w:sz="0" w:space="0" w:color="auto"/>
                <w:bottom w:val="none" w:sz="0" w:space="0" w:color="auto"/>
                <w:right w:val="none" w:sz="0" w:space="0" w:color="auto"/>
              </w:divBdr>
              <w:divsChild>
                <w:div w:id="82603633">
                  <w:marLeft w:val="0"/>
                  <w:marRight w:val="0"/>
                  <w:marTop w:val="0"/>
                  <w:marBottom w:val="0"/>
                  <w:divBdr>
                    <w:top w:val="none" w:sz="0" w:space="0" w:color="auto"/>
                    <w:left w:val="none" w:sz="0" w:space="0" w:color="auto"/>
                    <w:bottom w:val="none" w:sz="0" w:space="0" w:color="auto"/>
                    <w:right w:val="none" w:sz="0" w:space="0" w:color="auto"/>
                  </w:divBdr>
                </w:div>
                <w:div w:id="2042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4495">
          <w:marLeft w:val="0"/>
          <w:marRight w:val="0"/>
          <w:marTop w:val="0"/>
          <w:marBottom w:val="0"/>
          <w:divBdr>
            <w:top w:val="none" w:sz="0" w:space="0" w:color="auto"/>
            <w:left w:val="none" w:sz="0" w:space="0" w:color="auto"/>
            <w:bottom w:val="none" w:sz="0" w:space="0" w:color="auto"/>
            <w:right w:val="none" w:sz="0" w:space="0" w:color="auto"/>
          </w:divBdr>
          <w:divsChild>
            <w:div w:id="1183862747">
              <w:marLeft w:val="0"/>
              <w:marRight w:val="0"/>
              <w:marTop w:val="0"/>
              <w:marBottom w:val="0"/>
              <w:divBdr>
                <w:top w:val="none" w:sz="0" w:space="0" w:color="auto"/>
                <w:left w:val="none" w:sz="0" w:space="0" w:color="auto"/>
                <w:bottom w:val="none" w:sz="0" w:space="0" w:color="auto"/>
                <w:right w:val="none" w:sz="0" w:space="0" w:color="auto"/>
              </w:divBdr>
              <w:divsChild>
                <w:div w:id="1976401538">
                  <w:marLeft w:val="0"/>
                  <w:marRight w:val="0"/>
                  <w:marTop w:val="0"/>
                  <w:marBottom w:val="0"/>
                  <w:divBdr>
                    <w:top w:val="none" w:sz="0" w:space="0" w:color="auto"/>
                    <w:left w:val="none" w:sz="0" w:space="0" w:color="auto"/>
                    <w:bottom w:val="none" w:sz="0" w:space="0" w:color="auto"/>
                    <w:right w:val="none" w:sz="0" w:space="0" w:color="auto"/>
                  </w:divBdr>
                </w:div>
                <w:div w:id="19527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4134">
          <w:marLeft w:val="0"/>
          <w:marRight w:val="0"/>
          <w:marTop w:val="0"/>
          <w:marBottom w:val="0"/>
          <w:divBdr>
            <w:top w:val="none" w:sz="0" w:space="0" w:color="auto"/>
            <w:left w:val="none" w:sz="0" w:space="0" w:color="auto"/>
            <w:bottom w:val="none" w:sz="0" w:space="0" w:color="auto"/>
            <w:right w:val="none" w:sz="0" w:space="0" w:color="auto"/>
          </w:divBdr>
          <w:divsChild>
            <w:div w:id="384330884">
              <w:marLeft w:val="0"/>
              <w:marRight w:val="0"/>
              <w:marTop w:val="0"/>
              <w:marBottom w:val="0"/>
              <w:divBdr>
                <w:top w:val="none" w:sz="0" w:space="0" w:color="auto"/>
                <w:left w:val="none" w:sz="0" w:space="0" w:color="auto"/>
                <w:bottom w:val="none" w:sz="0" w:space="0" w:color="auto"/>
                <w:right w:val="none" w:sz="0" w:space="0" w:color="auto"/>
              </w:divBdr>
            </w:div>
            <w:div w:id="768502165">
              <w:marLeft w:val="0"/>
              <w:marRight w:val="0"/>
              <w:marTop w:val="0"/>
              <w:marBottom w:val="0"/>
              <w:divBdr>
                <w:top w:val="none" w:sz="0" w:space="0" w:color="auto"/>
                <w:left w:val="none" w:sz="0" w:space="0" w:color="auto"/>
                <w:bottom w:val="none" w:sz="0" w:space="0" w:color="auto"/>
                <w:right w:val="none" w:sz="0" w:space="0" w:color="auto"/>
              </w:divBdr>
              <w:divsChild>
                <w:div w:id="9730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2922">
      <w:bodyDiv w:val="1"/>
      <w:marLeft w:val="0"/>
      <w:marRight w:val="0"/>
      <w:marTop w:val="0"/>
      <w:marBottom w:val="0"/>
      <w:divBdr>
        <w:top w:val="none" w:sz="0" w:space="0" w:color="auto"/>
        <w:left w:val="none" w:sz="0" w:space="0" w:color="auto"/>
        <w:bottom w:val="none" w:sz="0" w:space="0" w:color="auto"/>
        <w:right w:val="none" w:sz="0" w:space="0" w:color="auto"/>
      </w:divBdr>
      <w:divsChild>
        <w:div w:id="2082216498">
          <w:marLeft w:val="0"/>
          <w:marRight w:val="0"/>
          <w:marTop w:val="0"/>
          <w:marBottom w:val="0"/>
          <w:divBdr>
            <w:top w:val="none" w:sz="0" w:space="0" w:color="auto"/>
            <w:left w:val="none" w:sz="0" w:space="0" w:color="auto"/>
            <w:bottom w:val="none" w:sz="0" w:space="0" w:color="auto"/>
            <w:right w:val="none" w:sz="0" w:space="0" w:color="auto"/>
          </w:divBdr>
          <w:divsChild>
            <w:div w:id="1814637591">
              <w:marLeft w:val="0"/>
              <w:marRight w:val="0"/>
              <w:marTop w:val="0"/>
              <w:marBottom w:val="0"/>
              <w:divBdr>
                <w:top w:val="none" w:sz="0" w:space="0" w:color="auto"/>
                <w:left w:val="none" w:sz="0" w:space="0" w:color="auto"/>
                <w:bottom w:val="none" w:sz="0" w:space="0" w:color="auto"/>
                <w:right w:val="none" w:sz="0" w:space="0" w:color="auto"/>
              </w:divBdr>
              <w:divsChild>
                <w:div w:id="1137919184">
                  <w:marLeft w:val="0"/>
                  <w:marRight w:val="0"/>
                  <w:marTop w:val="0"/>
                  <w:marBottom w:val="0"/>
                  <w:divBdr>
                    <w:top w:val="none" w:sz="0" w:space="0" w:color="auto"/>
                    <w:left w:val="none" w:sz="0" w:space="0" w:color="auto"/>
                    <w:bottom w:val="none" w:sz="0" w:space="0" w:color="auto"/>
                    <w:right w:val="none" w:sz="0" w:space="0" w:color="auto"/>
                  </w:divBdr>
                </w:div>
                <w:div w:id="199487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886">
          <w:marLeft w:val="0"/>
          <w:marRight w:val="0"/>
          <w:marTop w:val="0"/>
          <w:marBottom w:val="0"/>
          <w:divBdr>
            <w:top w:val="none" w:sz="0" w:space="0" w:color="auto"/>
            <w:left w:val="none" w:sz="0" w:space="0" w:color="auto"/>
            <w:bottom w:val="none" w:sz="0" w:space="0" w:color="auto"/>
            <w:right w:val="none" w:sz="0" w:space="0" w:color="auto"/>
          </w:divBdr>
          <w:divsChild>
            <w:div w:id="240598905">
              <w:marLeft w:val="0"/>
              <w:marRight w:val="0"/>
              <w:marTop w:val="0"/>
              <w:marBottom w:val="0"/>
              <w:divBdr>
                <w:top w:val="none" w:sz="0" w:space="0" w:color="auto"/>
                <w:left w:val="none" w:sz="0" w:space="0" w:color="auto"/>
                <w:bottom w:val="none" w:sz="0" w:space="0" w:color="auto"/>
                <w:right w:val="none" w:sz="0" w:space="0" w:color="auto"/>
              </w:divBdr>
              <w:divsChild>
                <w:div w:id="916356140">
                  <w:marLeft w:val="0"/>
                  <w:marRight w:val="0"/>
                  <w:marTop w:val="0"/>
                  <w:marBottom w:val="0"/>
                  <w:divBdr>
                    <w:top w:val="none" w:sz="0" w:space="0" w:color="auto"/>
                    <w:left w:val="none" w:sz="0" w:space="0" w:color="auto"/>
                    <w:bottom w:val="none" w:sz="0" w:space="0" w:color="auto"/>
                    <w:right w:val="none" w:sz="0" w:space="0" w:color="auto"/>
                  </w:divBdr>
                </w:div>
                <w:div w:id="14553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4492">
          <w:marLeft w:val="0"/>
          <w:marRight w:val="0"/>
          <w:marTop w:val="0"/>
          <w:marBottom w:val="0"/>
          <w:divBdr>
            <w:top w:val="none" w:sz="0" w:space="0" w:color="auto"/>
            <w:left w:val="none" w:sz="0" w:space="0" w:color="auto"/>
            <w:bottom w:val="none" w:sz="0" w:space="0" w:color="auto"/>
            <w:right w:val="none" w:sz="0" w:space="0" w:color="auto"/>
          </w:divBdr>
          <w:divsChild>
            <w:div w:id="85882678">
              <w:marLeft w:val="0"/>
              <w:marRight w:val="0"/>
              <w:marTop w:val="0"/>
              <w:marBottom w:val="0"/>
              <w:divBdr>
                <w:top w:val="none" w:sz="0" w:space="0" w:color="auto"/>
                <w:left w:val="none" w:sz="0" w:space="0" w:color="auto"/>
                <w:bottom w:val="none" w:sz="0" w:space="0" w:color="auto"/>
                <w:right w:val="none" w:sz="0" w:space="0" w:color="auto"/>
              </w:divBdr>
            </w:div>
            <w:div w:id="29037107">
              <w:marLeft w:val="0"/>
              <w:marRight w:val="0"/>
              <w:marTop w:val="0"/>
              <w:marBottom w:val="0"/>
              <w:divBdr>
                <w:top w:val="none" w:sz="0" w:space="0" w:color="auto"/>
                <w:left w:val="none" w:sz="0" w:space="0" w:color="auto"/>
                <w:bottom w:val="none" w:sz="0" w:space="0" w:color="auto"/>
                <w:right w:val="none" w:sz="0" w:space="0" w:color="auto"/>
              </w:divBdr>
              <w:divsChild>
                <w:div w:id="2351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1669</Words>
  <Characters>9514</Characters>
  <Application>Microsoft Office Word</Application>
  <DocSecurity>0</DocSecurity>
  <Lines>79</Lines>
  <Paragraphs>22</Paragraphs>
  <ScaleCrop>false</ScaleCrop>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2</cp:revision>
  <dcterms:created xsi:type="dcterms:W3CDTF">2025-06-30T02:17:00Z</dcterms:created>
  <dcterms:modified xsi:type="dcterms:W3CDTF">2025-06-30T02:19:00Z</dcterms:modified>
</cp:coreProperties>
</file>