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封面信息"/>
    <w:p>
      <w:pPr>
        <w:pStyle w:val="Heading1"/>
      </w:pPr>
      <w:r>
        <w:rPr>
          <w:rFonts w:hint="eastAsia"/>
        </w:rPr>
        <w:t xml:space="preserve">封面信息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标的名称：_______（股票代码：____）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行业/子行业：_______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报告版本：v1.0（撰写日期：____-</w:t>
      </w:r>
      <w:r>
        <w:rPr>
          <w:b/>
          <w:bCs/>
        </w:rPr>
        <w:t xml:space="preserve">-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研究周期：近10年历史</w:t>
      </w:r>
      <w:r>
        <w:t xml:space="preserve"> + </w:t>
      </w:r>
      <w:r>
        <w:rPr>
          <w:rFonts w:hint="eastAsia"/>
        </w:rPr>
        <w:t xml:space="preserve">未来3—5年展望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作者/审核：_______</w:t>
      </w:r>
      <w:r>
        <w:t xml:space="preserve"> / _______</w:t>
      </w:r>
    </w:p>
    <w:p>
      <w:r>
        <w:pict>
          <v:rect style="width:0;height:1.5pt" o:hralign="center" o:hrstd="t" o:hr="t"/>
        </w:pict>
      </w:r>
    </w:p>
    <w:bookmarkEnd w:id="20"/>
    <w:bookmarkStart w:id="21" w:name="快速摘要1页"/>
    <w:p>
      <w:pPr>
        <w:pStyle w:val="Heading1"/>
      </w:pPr>
      <w:r>
        <w:t xml:space="preserve">0. </w:t>
      </w:r>
      <w:r>
        <w:rPr>
          <w:rFonts w:hint="eastAsia"/>
        </w:rPr>
        <w:t xml:space="preserve">快速摘要（1页）</w:t>
      </w:r>
    </w:p>
    <w:p>
      <w:pPr>
        <w:pStyle w:val="BlockText"/>
      </w:pPr>
      <w:r>
        <w:rPr>
          <w:rFonts w:hint="eastAsia"/>
        </w:rPr>
        <w:t xml:space="preserve">用于投资决策者快速获取要点，建议控制在8—12条，每条不超过60字。</w:t>
      </w:r>
      <w:r>
        <w:t xml:space="preserve"> </w:t>
      </w:r>
      <w:r>
        <w:t xml:space="preserve">- </w:t>
      </w:r>
      <w:r>
        <w:rPr>
          <w:rFonts w:hint="eastAsia"/>
        </w:rPr>
        <w:t xml:space="preserve">投资逻辑：用一句话概括“为什么是它、为什么是现在”。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核心驱动：量价、份额、成本、产能、产品周期、政策等三到五项。</w:t>
      </w:r>
      <w:r>
        <w:t xml:space="preserve"> </w:t>
      </w:r>
      <w:r>
        <w:t xml:space="preserve">- </w:t>
      </w:r>
      <w:r>
        <w:rPr>
          <w:rFonts w:hint="eastAsia"/>
        </w:rPr>
        <w:t xml:space="preserve">业绩展望：未来3年收入/净利CAGR与主要假设。</w:t>
      </w:r>
      <w:r>
        <w:t xml:space="preserve"> </w:t>
      </w:r>
      <w:r>
        <w:t xml:space="preserve">- </w:t>
      </w:r>
      <w:r>
        <w:rPr>
          <w:rFonts w:hint="eastAsia"/>
        </w:rPr>
        <w:t xml:space="preserve">估值结论：采用何种方法、目标价/区间、对应倍数及假设。</w:t>
      </w:r>
      <w:r>
        <w:t xml:space="preserve"> </w:t>
      </w:r>
      <w:r>
        <w:t xml:space="preserve">- </w:t>
      </w:r>
      <w:r>
        <w:rPr>
          <w:rFonts w:hint="eastAsia"/>
        </w:rPr>
        <w:t xml:space="preserve">预期收益率与股息率：未来12个月预估。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关键预期差：市场忽略的要点/被误读的指标。</w:t>
      </w:r>
      <w:r>
        <w:t xml:space="preserve"> </w:t>
      </w:r>
      <w:r>
        <w:t xml:space="preserve">- </w:t>
      </w:r>
      <w:r>
        <w:rPr>
          <w:rFonts w:hint="eastAsia"/>
        </w:rPr>
        <w:t xml:space="preserve">催化剂：时间点+事件+可能影响。</w:t>
      </w:r>
      <w:r>
        <w:t xml:space="preserve"> </w:t>
      </w:r>
      <w:r>
        <w:t xml:space="preserve">- </w:t>
      </w:r>
      <w:r>
        <w:rPr>
          <w:rFonts w:hint="eastAsia"/>
        </w:rPr>
        <w:t xml:space="preserve">核心风险：按“概率×影响”排序的三到五项。</w:t>
      </w:r>
    </w:p>
    <w:p>
      <w:r>
        <w:pict>
          <v:rect style="width:0;height:1.5pt" o:hralign="center" o:hrstd="t" o:hr="t"/>
        </w:pict>
      </w:r>
    </w:p>
    <w:bookmarkEnd w:id="21"/>
    <w:bookmarkStart w:id="22" w:name="研究目标与边界"/>
    <w:p>
      <w:pPr>
        <w:pStyle w:val="Heading1"/>
      </w:pPr>
      <w:r>
        <w:t xml:space="preserve">1. </w:t>
      </w:r>
      <w:r>
        <w:rPr>
          <w:rFonts w:hint="eastAsia"/>
        </w:rPr>
        <w:t xml:space="preserve">研究目标与边界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研究问题</w:t>
      </w:r>
      <w:r>
        <w:rPr>
          <w:rFonts w:hint="eastAsia"/>
        </w:rPr>
        <w:t xml:space="preserve">：本研究希望回答哪五个最关键问题（例如：商业模式是否可复制/规模化？利润率能否改善？资本开支何时见顶？）。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范围界定</w:t>
      </w:r>
      <w:r>
        <w:rPr>
          <w:rFonts w:hint="eastAsia"/>
        </w:rPr>
        <w:t xml:space="preserve">：覆盖公司层面、行业层面、市场层面与大类资产层面的多维度估值与验证；不覆盖或仅简述的边界（如海外非核心业务）。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结论形式</w:t>
      </w:r>
      <w:r>
        <w:rPr>
          <w:rFonts w:hint="eastAsia"/>
        </w:rPr>
        <w:t xml:space="preserve">：给出明确的“买入/观察/回避”建议与仓位指引，配情景边界与止损标准。</w:t>
      </w:r>
    </w:p>
    <w:p>
      <w:r>
        <w:pict>
          <v:rect style="width:0;height:1.5pt" o:hralign="center" o:hrstd="t" o:hr="t"/>
        </w:pict>
      </w:r>
    </w:p>
    <w:bookmarkEnd w:id="22"/>
    <w:bookmarkStart w:id="25" w:name="公司画像与历史沿革"/>
    <w:p>
      <w:pPr>
        <w:pStyle w:val="Heading1"/>
      </w:pPr>
      <w:r>
        <w:t xml:space="preserve">2. </w:t>
      </w:r>
      <w:r>
        <w:rPr>
          <w:rFonts w:hint="eastAsia"/>
        </w:rPr>
        <w:t xml:space="preserve">公司画像与历史沿革</w:t>
      </w:r>
    </w:p>
    <w:bookmarkStart w:id="23" w:name="公司概况"/>
    <w:p>
      <w:pPr>
        <w:pStyle w:val="Heading2"/>
      </w:pPr>
      <w:r>
        <w:t xml:space="preserve">2.1 </w:t>
      </w:r>
      <w:r>
        <w:rPr>
          <w:rFonts w:hint="eastAsia"/>
        </w:rPr>
        <w:t xml:space="preserve">公司概况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成立时间、上市时间、注册地、员工数量、研发占比、产能与主要生产基地。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股权结构：第一大股东、实控人、核心持股平台、前五大股东变动（机构/员工持股计划）。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公司治理与激励：董事会结构、独董情况、股权激励方案与业绩考核指标（收入/净利/ROE/ROIC）。</w:t>
      </w:r>
    </w:p>
    <w:bookmarkEnd w:id="23"/>
    <w:bookmarkStart w:id="24" w:name="发展轨迹"/>
    <w:p>
      <w:pPr>
        <w:pStyle w:val="Heading2"/>
      </w:pPr>
      <w:r>
        <w:t xml:space="preserve">2.2 </w:t>
      </w:r>
      <w:r>
        <w:rPr>
          <w:rFonts w:hint="eastAsia"/>
        </w:rPr>
        <w:t xml:space="preserve">发展轨迹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创立—探索—扩张—平台化/国际化的重要里程碑时间线。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重大并购/剥离/合资项目的动因与成效，协同是否兑现（收入、毛利、费用率、现金流）。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主营业务与产品结构"/>
    <w:p>
      <w:pPr>
        <w:pStyle w:val="Heading1"/>
      </w:pPr>
      <w:r>
        <w:t xml:space="preserve">3. </w:t>
      </w:r>
      <w:r>
        <w:rPr>
          <w:rFonts w:hint="eastAsia"/>
        </w:rPr>
        <w:t xml:space="preserve">主营业务与产品结构</w:t>
      </w:r>
    </w:p>
    <w:bookmarkStart w:id="26" w:name="业务拆解"/>
    <w:p>
      <w:pPr>
        <w:pStyle w:val="Heading2"/>
      </w:pPr>
      <w:r>
        <w:t xml:space="preserve">3.1 </w:t>
      </w:r>
      <w:r>
        <w:rPr>
          <w:rFonts w:hint="eastAsia"/>
        </w:rPr>
        <w:t xml:space="preserve">业务拆解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业务分部（或产品线）名称、占收入/毛利/净利比例，以及近三年增速。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客户结构与集中度：前五大客户、客户分层（KA/中小）、续约率、合同类型（长期/框架/项目制）。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区域结构：国内/海外占比，重点国家/渠道策略。</w:t>
      </w:r>
    </w:p>
    <w:bookmarkEnd w:id="26"/>
    <w:bookmarkStart w:id="27" w:name="成本与定价"/>
    <w:p>
      <w:pPr>
        <w:pStyle w:val="Heading2"/>
      </w:pPr>
      <w:r>
        <w:t xml:space="preserve">3.2 </w:t>
      </w:r>
      <w:r>
        <w:rPr>
          <w:rFonts w:hint="eastAsia"/>
        </w:rPr>
        <w:t xml:space="preserve">成本与定价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主要原材料/关键零部件/外包成本的占比、波动来源与传导机制。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定价机制：成本加成/价值定价/竞标价/政府指导价；价格弹性与折扣体系。</w:t>
      </w:r>
    </w:p>
    <w:bookmarkEnd w:id="27"/>
    <w:bookmarkStart w:id="28" w:name="收入确认与质量"/>
    <w:p>
      <w:pPr>
        <w:pStyle w:val="Heading2"/>
      </w:pPr>
      <w:r>
        <w:t xml:space="preserve">3.3 </w:t>
      </w:r>
      <w:r>
        <w:rPr>
          <w:rFonts w:hint="eastAsia"/>
        </w:rPr>
        <w:t xml:space="preserve">收入确认与质量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收入确认口径（时点/时段）、预收/合同负债、在手订单与backlog可见性。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回款与信用政策：账期、保理、坏账率与客户质量矩阵。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行业研究与外部环境"/>
    <w:p>
      <w:pPr>
        <w:pStyle w:val="Heading1"/>
      </w:pPr>
      <w:r>
        <w:t xml:space="preserve">4. </w:t>
      </w:r>
      <w:r>
        <w:rPr>
          <w:rFonts w:hint="eastAsia"/>
        </w:rPr>
        <w:t xml:space="preserve">行业研究与外部环境</w:t>
      </w:r>
    </w:p>
    <w:bookmarkStart w:id="30" w:name="生命周期与增速集中度"/>
    <w:p>
      <w:pPr>
        <w:pStyle w:val="Heading2"/>
      </w:pPr>
      <w:r>
        <w:t xml:space="preserve">4.1 </w:t>
      </w:r>
      <w:r>
        <w:rPr>
          <w:rFonts w:hint="eastAsia"/>
        </w:rPr>
        <w:t xml:space="preserve">生命周期与增速/集中度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使用生命周期模型划分：</w:t>
      </w:r>
      <w:r>
        <w:rPr>
          <w:rFonts w:hint="eastAsia"/>
          <w:b/>
          <w:bCs/>
        </w:rPr>
        <w:t xml:space="preserve">萌芽期—成长期—成熟期—衰退期</w:t>
      </w:r>
      <w:r>
        <w:rPr>
          <w:rFonts w:hint="eastAsia"/>
        </w:rPr>
        <w:t xml:space="preserve">；对照“渗透率-估值-盈利”的相位关系。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行业增速与CR3/CR5/CR10集中度演进；龙头市占率提升的逻辑与路径。</w:t>
      </w:r>
    </w:p>
    <w:bookmarkEnd w:id="30"/>
    <w:bookmarkStart w:id="31" w:name="竞争结构与核心要素"/>
    <w:p>
      <w:pPr>
        <w:pStyle w:val="Heading2"/>
      </w:pPr>
      <w:r>
        <w:t xml:space="preserve">4.2 </w:t>
      </w:r>
      <w:r>
        <w:rPr>
          <w:rFonts w:hint="eastAsia"/>
        </w:rPr>
        <w:t xml:space="preserve">竞争结构与核心要素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市场类型识别：</w:t>
      </w:r>
      <w:r>
        <w:rPr>
          <w:rFonts w:hint="eastAsia"/>
          <w:b/>
          <w:bCs/>
        </w:rPr>
        <w:t xml:space="preserve">垄断/寡头/垄断竞争/完全竞争</w:t>
      </w:r>
      <w:r>
        <w:rPr>
          <w:rFonts w:hint="eastAsia"/>
        </w:rPr>
        <w:t xml:space="preserve">，以及价格战触发条件。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成败关键要素：技术轨迹（性能/成本）、渠道/交付、认证/资质、规模与学习曲线。</w:t>
      </w:r>
    </w:p>
    <w:bookmarkEnd w:id="31"/>
    <w:bookmarkStart w:id="32" w:name="价值链与微笑曲线"/>
    <w:p>
      <w:pPr>
        <w:pStyle w:val="Heading2"/>
      </w:pPr>
      <w:r>
        <w:t xml:space="preserve">4.3 </w:t>
      </w:r>
      <w:r>
        <w:rPr>
          <w:rFonts w:hint="eastAsia"/>
        </w:rPr>
        <w:t xml:space="preserve">价值链与“微笑曲线”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上游：原材料与核心设备，议价能力与供需周期；是否存在“长链条+重资金+中技术”的特征。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中游：制造/集成环节的成本曲线与良率爬坡；自动化/数字化水平。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下游：需求刚性与客户集中度（</w:t>
      </w:r>
      <w:r>
        <w:rPr>
          <w:rFonts w:hint="eastAsia"/>
          <w:b/>
          <w:bCs/>
        </w:rPr>
        <w:t xml:space="preserve">刚需+寡头</w:t>
      </w:r>
      <w:r>
        <w:t xml:space="preserve"> </w:t>
      </w:r>
      <w:r>
        <w:rPr>
          <w:rFonts w:hint="eastAsia"/>
        </w:rPr>
        <w:t xml:space="preserve">是否成立），采购模式（直采/招标/分销）。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公司所处环节</w:t>
      </w:r>
      <w:r>
        <w:rPr>
          <w:rFonts w:hint="eastAsia"/>
        </w:rPr>
        <w:t xml:space="preserve">与同环节主要竞争者；是否存在上下游向内整合的威胁与机会。</w:t>
      </w:r>
    </w:p>
    <w:bookmarkEnd w:id="32"/>
    <w:bookmarkStart w:id="33" w:name="宏观与政策pest"/>
    <w:p>
      <w:pPr>
        <w:pStyle w:val="Heading2"/>
      </w:pPr>
      <w:r>
        <w:t xml:space="preserve">4.4 </w:t>
      </w:r>
      <w:r>
        <w:rPr>
          <w:rFonts w:hint="eastAsia"/>
        </w:rPr>
        <w:t xml:space="preserve">宏观与政策（PEST）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P（政治）</w:t>
      </w:r>
      <w:r>
        <w:rPr>
          <w:rFonts w:hint="eastAsia"/>
        </w:rPr>
        <w:t xml:space="preserve">：监管框架、准入/认证、补贴与税收、地缘因素。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E（经济）</w:t>
      </w:r>
      <w:r>
        <w:rPr>
          <w:rFonts w:hint="eastAsia"/>
        </w:rPr>
        <w:t xml:space="preserve">：GDP/PMI/利率/汇率/通胀/房地产链影响；可支配收入与消费信心。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S（社会）</w:t>
      </w:r>
      <w:r>
        <w:rPr>
          <w:rFonts w:hint="eastAsia"/>
        </w:rPr>
        <w:t xml:space="preserve">：人口结构、城乡分布、职业结构、生活方式/合规/ESG舆情。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T（技术）</w:t>
      </w:r>
      <w:r>
        <w:rPr>
          <w:rFonts w:hint="eastAsia"/>
        </w:rPr>
        <w:t xml:space="preserve">：替代技术与迭代速度、专利格局、开源/标准、AI与自动化渗透。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商业模式与盈利模式"/>
    <w:p>
      <w:pPr>
        <w:pStyle w:val="Heading1"/>
      </w:pPr>
      <w:r>
        <w:t xml:space="preserve">5. </w:t>
      </w:r>
      <w:r>
        <w:rPr>
          <w:rFonts w:hint="eastAsia"/>
        </w:rPr>
        <w:t xml:space="preserve">商业模式与盈利模式</w:t>
      </w:r>
    </w:p>
    <w:bookmarkStart w:id="35" w:name="商业模式概览"/>
    <w:p>
      <w:pPr>
        <w:pStyle w:val="Heading2"/>
      </w:pPr>
      <w:r>
        <w:t xml:space="preserve">5.1 </w:t>
      </w:r>
      <w:r>
        <w:rPr>
          <w:rFonts w:hint="eastAsia"/>
        </w:rPr>
        <w:t xml:space="preserve">商业模式概览</w:t>
      </w:r>
    </w:p>
    <w:p>
      <w:pPr>
        <w:pStyle w:val="Compact"/>
        <w:numPr>
          <w:ilvl w:val="0"/>
          <w:numId w:val="1012"/>
        </w:numPr>
      </w:pPr>
      <w:r>
        <w:t xml:space="preserve">To B/To G/To </w:t>
      </w:r>
      <w:r>
        <w:rPr>
          <w:rFonts w:hint="eastAsia"/>
        </w:rPr>
        <w:t xml:space="preserve">C/平台型/硬件+软件+服务/订阅制/一次性+运维；关键KPI（ARPU、LTV/CAC、续费率、装机量、单店/单车/单户指标）。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渠道结构：直销/经销/电商/代理/系统集成商；渠道费用与返点体系。</w:t>
      </w:r>
    </w:p>
    <w:bookmarkEnd w:id="35"/>
    <w:bookmarkStart w:id="36" w:name="盈利模式与盈亏平衡"/>
    <w:p>
      <w:pPr>
        <w:pStyle w:val="Heading2"/>
      </w:pPr>
      <w:r>
        <w:t xml:space="preserve">5.2 </w:t>
      </w:r>
      <w:r>
        <w:rPr>
          <w:rFonts w:hint="eastAsia"/>
        </w:rPr>
        <w:t xml:space="preserve">盈利模式与盈亏平衡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单位经济模型（Unit</w:t>
      </w:r>
      <w:r>
        <w:t xml:space="preserve"> </w:t>
      </w:r>
      <w:r>
        <w:rPr>
          <w:rFonts w:hint="eastAsia"/>
        </w:rPr>
        <w:t xml:space="preserve">Economics）：毛利-变动费用-获客成本-服务成本-留存/折损。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盈亏平衡点：固定成本/产能利用率/关键要素敏感性（价格、良率、原材、费率）。</w:t>
      </w:r>
    </w:p>
    <w:bookmarkEnd w:id="36"/>
    <w:bookmarkStart w:id="37" w:name="现金流机制"/>
    <w:p>
      <w:pPr>
        <w:pStyle w:val="Heading2"/>
      </w:pPr>
      <w:r>
        <w:t xml:space="preserve">5.3 </w:t>
      </w:r>
      <w:r>
        <w:rPr>
          <w:rFonts w:hint="eastAsia"/>
        </w:rPr>
        <w:t xml:space="preserve">现金流机制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账期结构、现金转换周期（CCC=DSO+DIO-</w:t>
      </w:r>
      <w:r>
        <w:t xml:space="preserve"> </w:t>
      </w:r>
      <w:r>
        <w:rPr>
          <w:rFonts w:hint="eastAsia"/>
        </w:rPr>
        <w:t xml:space="preserve">DPO）的历史与对标；预收款/订金模式下的现金流优势与风险。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竞争对手与对标"/>
    <w:p>
      <w:pPr>
        <w:pStyle w:val="Heading1"/>
      </w:pPr>
      <w:r>
        <w:t xml:space="preserve">6. </w:t>
      </w:r>
      <w:r>
        <w:rPr>
          <w:rFonts w:hint="eastAsia"/>
        </w:rPr>
        <w:t xml:space="preserve">竞争对手与对标</w:t>
      </w:r>
    </w:p>
    <w:p>
      <w:pPr>
        <w:pStyle w:val="BlockText"/>
      </w:pPr>
      <w:r>
        <w:rPr>
          <w:rFonts w:hint="eastAsia"/>
        </w:rPr>
        <w:t xml:space="preserve">选取2—3家核心竞品，保持口径一致，形成可横向对比的“事实卡”。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基本信息</w:t>
      </w:r>
      <w:r>
        <w:rPr>
          <w:rFonts w:hint="eastAsia"/>
        </w:rPr>
        <w:t xml:space="preserve">：规模、成立/上市时间、核心市场与渠道。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业务结构</w:t>
      </w:r>
      <w:r>
        <w:rPr>
          <w:rFonts w:hint="eastAsia"/>
        </w:rPr>
        <w:t xml:space="preserve">：分部收入/毛利，区域分布。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产品/技术</w:t>
      </w:r>
      <w:r>
        <w:rPr>
          <w:rFonts w:hint="eastAsia"/>
        </w:rPr>
        <w:t xml:space="preserve">：指标与迭代节奏、研发强度（研发/收入）、专利数量与含金量。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价格与毛利</w:t>
      </w:r>
      <w:r>
        <w:rPr>
          <w:rFonts w:hint="eastAsia"/>
        </w:rPr>
        <w:t xml:space="preserve">：标准化价格带、折扣、保价/竞标策略；三费率水平。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产能与交付</w:t>
      </w:r>
      <w:r>
        <w:rPr>
          <w:rFonts w:hint="eastAsia"/>
        </w:rPr>
        <w:t xml:space="preserve">：在建/规划/利用率、良率/返修率、交付周期。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管理效率</w:t>
      </w:r>
      <w:r>
        <w:rPr>
          <w:rFonts w:hint="eastAsia"/>
        </w:rPr>
        <w:t xml:space="preserve">：人均产出、人均利润、资产周转率；应收与存货周转。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现金流与资本强度</w:t>
      </w:r>
      <w:r>
        <w:rPr>
          <w:rFonts w:hint="eastAsia"/>
        </w:rPr>
        <w:t xml:space="preserve">：Capex强度、FCF率、净负债/EBITDA。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治理与激励</w:t>
      </w:r>
      <w:r>
        <w:rPr>
          <w:rFonts w:hint="eastAsia"/>
        </w:rPr>
        <w:t xml:space="preserve">：股权激励覆盖率、管理层更迭、组织稳定性。</w:t>
      </w:r>
    </w:p>
    <w:p>
      <w:r>
        <w:pict>
          <v:rect style="width:0;height:1.5pt" o:hralign="center" o:hrstd="t" o:hr="t"/>
        </w:pict>
      </w:r>
    </w:p>
    <w:bookmarkEnd w:id="39"/>
    <w:bookmarkStart w:id="40" w:name="管理层与治理质量"/>
    <w:p>
      <w:pPr>
        <w:pStyle w:val="Heading1"/>
      </w:pPr>
      <w:r>
        <w:t xml:space="preserve">7. </w:t>
      </w:r>
      <w:r>
        <w:rPr>
          <w:rFonts w:hint="eastAsia"/>
        </w:rPr>
        <w:t xml:space="preserve">管理层与治理质量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治理结构：股东会/董事会/监事会/专门委员会设置，独立性评估。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管理层画像：核心高管背景与轮岗经历，激励目标与兑现历史。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组织能力：研发-供应链-制造-销售-服务的协同效率；数字化/精益管理实践。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内控与合规：收入确认、关联交易、资金占用、担保/抵押；审计意见与内控缺陷整改。</w:t>
      </w:r>
    </w:p>
    <w:p>
      <w:r>
        <w:pict>
          <v:rect style="width:0;height:1.5pt" o:hralign="center" o:hrstd="t" o:hr="t"/>
        </w:pict>
      </w:r>
    </w:p>
    <w:bookmarkEnd w:id="40"/>
    <w:bookmarkStart w:id="45" w:name="财务质量与杜邦体系"/>
    <w:p>
      <w:pPr>
        <w:pStyle w:val="Heading1"/>
      </w:pPr>
      <w:r>
        <w:t xml:space="preserve">8. </w:t>
      </w:r>
      <w:r>
        <w:rPr>
          <w:rFonts w:hint="eastAsia"/>
        </w:rPr>
        <w:t xml:space="preserve">财务质量与杜邦体系</w:t>
      </w:r>
    </w:p>
    <w:bookmarkStart w:id="41" w:name="杜邦与roe"/>
    <w:p>
      <w:pPr>
        <w:pStyle w:val="Heading2"/>
      </w:pPr>
      <w:r>
        <w:t xml:space="preserve">8.1 </w:t>
      </w:r>
      <w:r>
        <w:rPr>
          <w:rFonts w:hint="eastAsia"/>
        </w:rPr>
        <w:t xml:space="preserve">杜邦与ROE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ROE=净利率×资产周转率×权益乘数</w:t>
      </w:r>
      <w:r>
        <w:rPr>
          <w:rFonts w:hint="eastAsia"/>
        </w:rPr>
        <w:t xml:space="preserve">；拆解三项驱动的历史与对标变化。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未来2—3年ROE趋势</w:t>
      </w:r>
      <w:r>
        <w:rPr>
          <w:rFonts w:hint="eastAsia"/>
        </w:rPr>
        <w:t xml:space="preserve">：结合利润率改善（毛利/费率）、周转效率提升、财务杠杆变动做展望。</w:t>
      </w:r>
    </w:p>
    <w:bookmarkEnd w:id="41"/>
    <w:bookmarkStart w:id="42" w:name="roic与经济利润"/>
    <w:p>
      <w:pPr>
        <w:pStyle w:val="Heading2"/>
      </w:pPr>
      <w:r>
        <w:t xml:space="preserve">8.2 </w:t>
      </w:r>
      <w:r>
        <w:rPr>
          <w:rFonts w:hint="eastAsia"/>
        </w:rPr>
        <w:t xml:space="preserve">ROIC与经济利润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ROIC=NOPAT/投入资本</w:t>
      </w:r>
      <w:r>
        <w:rPr>
          <w:rFonts w:hint="eastAsia"/>
        </w:rPr>
        <w:t xml:space="preserve">；与WACC比较判定价值创造；关注“ROIC&gt;WACC”的持续性与波动区间。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经济利润（EVA）与残余收益模型在估值校验中的作用。</w:t>
      </w:r>
    </w:p>
    <w:bookmarkEnd w:id="42"/>
    <w:bookmarkStart w:id="43" w:name="盈余质量与现金流"/>
    <w:p>
      <w:pPr>
        <w:pStyle w:val="Heading2"/>
      </w:pPr>
      <w:r>
        <w:t xml:space="preserve">8.3 </w:t>
      </w:r>
      <w:r>
        <w:rPr>
          <w:rFonts w:hint="eastAsia"/>
        </w:rPr>
        <w:t xml:space="preserve">盈余质量与现金流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经营性现金流/净利润比、自由现金流（FCF）覆盖率；应收与存货的“水位”变化及占比。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FCF计算</w:t>
      </w:r>
      <w:r>
        <w:rPr>
          <w:rFonts w:hint="eastAsia"/>
        </w:rPr>
        <w:t xml:space="preserve">：FCF=NOPAT</w:t>
      </w:r>
      <w:r>
        <w:t xml:space="preserve"> + </w:t>
      </w:r>
      <w:r>
        <w:rPr>
          <w:rFonts w:hint="eastAsia"/>
        </w:rPr>
        <w:t xml:space="preserve">折旧摊销</w:t>
      </w:r>
      <w:r>
        <w:t xml:space="preserve"> − Capex − </w:t>
      </w:r>
      <w:r>
        <w:rPr>
          <w:rFonts w:hint="eastAsia"/>
        </w:rPr>
        <w:t xml:space="preserve">Δ营运资本；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资本开支分拆（维持性/扩张性）。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真实现金性利润：将折旧/摊销/资产处置等非现金项进行调整以还原经营盈利能力。</w:t>
      </w:r>
    </w:p>
    <w:bookmarkEnd w:id="43"/>
    <w:bookmarkStart w:id="44" w:name="费用与效率"/>
    <w:p>
      <w:pPr>
        <w:pStyle w:val="Heading2"/>
      </w:pPr>
      <w:r>
        <w:t xml:space="preserve">8.4 </w:t>
      </w:r>
      <w:r>
        <w:rPr>
          <w:rFonts w:hint="eastAsia"/>
        </w:rPr>
        <w:t xml:space="preserve">费用与效率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费用结构：税金及附加/销售/管理/研发/财务；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研发费用再分析：同业对比单位产出（每1%研发/收入带来的毛利率与份额提升）。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人效/费效：人均营收、人均净利、单店/单线体效能。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量价本质产能价格成本三角"/>
    <w:p>
      <w:pPr>
        <w:pStyle w:val="Heading1"/>
      </w:pPr>
      <w:r>
        <w:t xml:space="preserve">9. </w:t>
      </w:r>
      <w:r>
        <w:rPr>
          <w:rFonts w:hint="eastAsia"/>
        </w:rPr>
        <w:t xml:space="preserve">量价本质：产能—价格—成本三角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产能</w:t>
      </w:r>
      <w:r>
        <w:rPr>
          <w:rFonts w:hint="eastAsia"/>
        </w:rPr>
        <w:t xml:space="preserve">：现有/在建/规划，投产节奏、瓶颈资源、设备折旧与良率；产能利用率提升对单位固定成本的摊薄。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价格</w:t>
      </w:r>
      <w:r>
        <w:rPr>
          <w:rFonts w:hint="eastAsia"/>
        </w:rPr>
        <w:t xml:space="preserve">：价格带、竞价机制、锁价/浮动价条款；单位产品净利与价格敏感性曲线。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成本</w:t>
      </w:r>
      <w:r>
        <w:rPr>
          <w:rFonts w:hint="eastAsia"/>
        </w:rPr>
        <w:t xml:space="preserve">：原材料（上游指数联动）、人工/能耗、折旧、制造费用；变动/固定成本拆分与弹性系数。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敏感性分析</w:t>
      </w:r>
      <w:r>
        <w:rPr>
          <w:rFonts w:hint="eastAsia"/>
        </w:rPr>
        <w:t xml:space="preserve">：净利对价格±1%、原材±5%、利用率±10pct的弹性；量价齐升/对冲/剪刀差三种场景。</w:t>
      </w:r>
    </w:p>
    <w:p>
      <w:r>
        <w:pict>
          <v:rect style="width:0;height:1.5pt" o:hralign="center" o:hrstd="t" o:hr="t"/>
        </w:pict>
      </w:r>
    </w:p>
    <w:bookmarkEnd w:id="46"/>
    <w:bookmarkStart w:id="47" w:name="资本开支与自由现金流"/>
    <w:p>
      <w:pPr>
        <w:pStyle w:val="Heading1"/>
      </w:pPr>
      <w:r>
        <w:t xml:space="preserve">10. </w:t>
      </w:r>
      <w:r>
        <w:rPr>
          <w:rFonts w:hint="eastAsia"/>
        </w:rPr>
        <w:t xml:space="preserve">资本开支与自由现金流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历史Capex与资本化政策；在建工程/预付设备款；单产投资额与回收期。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b/>
          <w:bCs/>
        </w:rPr>
        <w:t xml:space="preserve">图表模板</w:t>
      </w:r>
      <w:r>
        <w:rPr>
          <w:rFonts w:hint="eastAsia"/>
        </w:rPr>
        <w:t xml:space="preserve">：过去10年资本开支与“真实现金性利润”柱状图；FCF历史与预测折线图；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未来2—3年Capex见顶时间、折旧高峰、FCF大幅释放的窗口期与驱动（提效、价格、份额、产品结构）。</w:t>
      </w:r>
    </w:p>
    <w:p>
      <w:r>
        <w:pict>
          <v:rect style="width:0;height:1.5pt" o:hralign="center" o:hrstd="t" o:hr="t"/>
        </w:pict>
      </w:r>
    </w:p>
    <w:bookmarkEnd w:id="47"/>
    <w:bookmarkStart w:id="51" w:name="盈利预测模型口径与假设"/>
    <w:p>
      <w:pPr>
        <w:pStyle w:val="Heading1"/>
      </w:pPr>
      <w:r>
        <w:t xml:space="preserve">11. </w:t>
      </w:r>
      <w:r>
        <w:rPr>
          <w:rFonts w:hint="eastAsia"/>
        </w:rPr>
        <w:t xml:space="preserve">盈利预测（模型口径与假设）</w:t>
      </w:r>
    </w:p>
    <w:bookmarkStart w:id="48" w:name="收入分拆与预测"/>
    <w:p>
      <w:pPr>
        <w:pStyle w:val="Heading2"/>
      </w:pPr>
      <w:r>
        <w:t xml:space="preserve">11.1 </w:t>
      </w:r>
      <w:r>
        <w:rPr>
          <w:rFonts w:hint="eastAsia"/>
        </w:rPr>
        <w:t xml:space="preserve">收入分拆与预测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以业务/产品/区域/客户四象限构建自上而下与自下而上交叉核验；订单-出货-验收-收入确认的传导。</w:t>
      </w:r>
    </w:p>
    <w:bookmarkEnd w:id="48"/>
    <w:bookmarkStart w:id="49" w:name="成本与费用"/>
    <w:p>
      <w:pPr>
        <w:pStyle w:val="Heading2"/>
      </w:pPr>
      <w:r>
        <w:t xml:space="preserve">11.2 </w:t>
      </w:r>
      <w:r>
        <w:rPr>
          <w:rFonts w:hint="eastAsia"/>
        </w:rPr>
        <w:t xml:space="preserve">成本与费用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可变成本</w:t>
      </w:r>
      <w:r>
        <w:rPr>
          <w:rFonts w:hint="eastAsia"/>
        </w:rPr>
        <w:t xml:space="preserve">：原材/外协/运费等随量变化项的单价假设与敏感性；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固定成本</w:t>
      </w:r>
      <w:r>
        <w:rPr>
          <w:rFonts w:hint="eastAsia"/>
        </w:rPr>
        <w:t xml:space="preserve">：折旧/房租/管理人员，随产能与自动化水平变化的台阶效应；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  <w:b/>
          <w:bCs/>
        </w:rPr>
        <w:t xml:space="preserve">期间费用</w:t>
      </w:r>
      <w:r>
        <w:rPr>
          <w:rFonts w:hint="eastAsia"/>
        </w:rPr>
        <w:t xml:space="preserve">：税金及附加、销售、管理、研发、财务费用及其占比趋势；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资本化/费用化口径一致性校验；一次性项目（资产处置、政府补助）剔除后得到</w:t>
      </w:r>
      <w:r>
        <w:rPr>
          <w:rFonts w:hint="eastAsia"/>
          <w:b/>
          <w:bCs/>
        </w:rPr>
        <w:t xml:space="preserve">真实性经营利润</w:t>
      </w:r>
      <w:r>
        <w:t xml:space="preserve">。</w:t>
      </w:r>
    </w:p>
    <w:bookmarkEnd w:id="49"/>
    <w:bookmarkStart w:id="50" w:name="单位经济与资本强度"/>
    <w:p>
      <w:pPr>
        <w:pStyle w:val="Heading2"/>
      </w:pPr>
      <w:r>
        <w:t xml:space="preserve">11.3 </w:t>
      </w:r>
      <w:r>
        <w:rPr>
          <w:rFonts w:hint="eastAsia"/>
        </w:rPr>
        <w:t xml:space="preserve">单位经济与资本强度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单位营收/单位利润所需</w:t>
      </w:r>
      <w:r>
        <w:rPr>
          <w:rFonts w:hint="eastAsia"/>
          <w:b/>
          <w:bCs/>
        </w:rPr>
        <w:t xml:space="preserve">固定资产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营运资本</w:t>
      </w:r>
      <w:r>
        <w:rPr>
          <w:rFonts w:hint="eastAsia"/>
        </w:rPr>
        <w:t xml:space="preserve">（现金/应收/存货/应付）配比；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单位产品净利走势（含同业对比），验证规模化是否稀释或放大利润率。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估值体系与校验"/>
    <w:p>
      <w:pPr>
        <w:pStyle w:val="Heading1"/>
      </w:pPr>
      <w:r>
        <w:t xml:space="preserve">12. </w:t>
      </w:r>
      <w:r>
        <w:rPr>
          <w:rFonts w:hint="eastAsia"/>
        </w:rPr>
        <w:t xml:space="preserve">估值体系与校验</w:t>
      </w:r>
    </w:p>
    <w:bookmarkStart w:id="52" w:name="方法矩阵"/>
    <w:p>
      <w:pPr>
        <w:pStyle w:val="Heading2"/>
      </w:pPr>
      <w:r>
        <w:t xml:space="preserve">12.1 </w:t>
      </w:r>
      <w:r>
        <w:rPr>
          <w:rFonts w:hint="eastAsia"/>
        </w:rPr>
        <w:t xml:space="preserve">方法矩阵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DCF</w:t>
      </w:r>
      <w:r>
        <w:rPr>
          <w:rFonts w:hint="eastAsia"/>
        </w:rPr>
        <w:t xml:space="preserve">（含三段增长/终值g与WACC区间敏感性）。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EV/EBITDA、PE、PEG、PS、PB</w:t>
      </w:r>
      <w:r>
        <w:rPr>
          <w:rFonts w:hint="eastAsia"/>
        </w:rPr>
        <w:t xml:space="preserve">：横向对比与历史分位（Pxx/10年区间）。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残余收益/经济利润</w:t>
      </w:r>
      <w:r>
        <w:rPr>
          <w:rFonts w:hint="eastAsia"/>
        </w:rPr>
        <w:t xml:space="preserve">：在重资产/现金流后置行业的适用性。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  <w:b/>
          <w:bCs/>
        </w:rPr>
        <w:t xml:space="preserve">SOTP分部估值</w:t>
      </w:r>
      <w:r>
        <w:rPr>
          <w:rFonts w:hint="eastAsia"/>
        </w:rPr>
        <w:t xml:space="preserve">：不同业务线给予差异化倍数与加总折扣。</w:t>
      </w:r>
    </w:p>
    <w:bookmarkEnd w:id="52"/>
    <w:bookmarkStart w:id="53" w:name="四个层面的估值框架"/>
    <w:p>
      <w:pPr>
        <w:pStyle w:val="Heading2"/>
      </w:pPr>
      <w:r>
        <w:t xml:space="preserve">12.2 </w:t>
      </w:r>
      <w:r>
        <w:rPr>
          <w:rFonts w:hint="eastAsia"/>
        </w:rPr>
        <w:t xml:space="preserve">四个层面的估值框架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公司层面</w:t>
      </w:r>
      <w:r>
        <w:rPr>
          <w:rFonts w:hint="eastAsia"/>
        </w:rPr>
        <w:t xml:space="preserve">：历史估值区间、可比公司估值与潜在收益率；结合企业类型（</w:t>
      </w:r>
      <w:r>
        <w:rPr>
          <w:rFonts w:hint="eastAsia"/>
          <w:b/>
          <w:bCs/>
        </w:rPr>
        <w:t xml:space="preserve">机遇型→平台型→组织型</w:t>
      </w:r>
      <w:r>
        <w:rPr>
          <w:rFonts w:hint="eastAsia"/>
        </w:rPr>
        <w:t xml:space="preserve">）的确定性递增，给出折现/溢价因子。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行业层面</w:t>
      </w:r>
      <w:r>
        <w:rPr>
          <w:rFonts w:hint="eastAsia"/>
        </w:rPr>
        <w:t xml:space="preserve">：相同商业模式在不同子行业的合理倍数带；结合</w:t>
      </w:r>
      <w:r>
        <w:rPr>
          <w:rFonts w:hint="eastAsia"/>
          <w:b/>
          <w:bCs/>
        </w:rPr>
        <w:t xml:space="preserve">行业生命周期</w:t>
      </w:r>
      <w:r>
        <w:rPr>
          <w:rFonts w:hint="eastAsia"/>
        </w:rPr>
        <w:t xml:space="preserve">与渗透率阶段标注估值中枢与极限区间。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市场层面</w:t>
      </w:r>
      <w:r>
        <w:rPr>
          <w:rFonts w:hint="eastAsia"/>
        </w:rPr>
        <w:t xml:space="preserve">：年度风格与市场整体估值（风格因子/ROE因子/小盘-大盘轮动）；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  <w:b/>
          <w:bCs/>
        </w:rPr>
        <w:t xml:space="preserve">A股风险溢价指数</w:t>
      </w:r>
      <w:r>
        <w:rPr>
          <w:rFonts w:hint="eastAsia"/>
        </w:rPr>
        <w:t xml:space="preserve">、社会流动性（M2/社融/DR利率）、上市公司盈利增速对估值中枢的影响。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  <w:b/>
          <w:bCs/>
        </w:rPr>
        <w:t xml:space="preserve">大类资产层面</w:t>
      </w:r>
      <w:r>
        <w:rPr>
          <w:rFonts w:hint="eastAsia"/>
        </w:rPr>
        <w:t xml:space="preserve">：资金来源结构（央行+银行理财/险资/公募+北向资金）；股/债/商/汇配置周期对风险偏好的影响及其传导至行业与公司估值的链路。</w:t>
      </w:r>
    </w:p>
    <w:bookmarkEnd w:id="53"/>
    <w:bookmarkStart w:id="54" w:name="目标价与安全边际"/>
    <w:p>
      <w:pPr>
        <w:pStyle w:val="Heading2"/>
      </w:pPr>
      <w:r>
        <w:t xml:space="preserve">12.3 </w:t>
      </w:r>
      <w:r>
        <w:rPr>
          <w:rFonts w:hint="eastAsia"/>
        </w:rPr>
        <w:t xml:space="preserve">目标价与安全边际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给出</w:t>
      </w:r>
      <w:r>
        <w:rPr>
          <w:rFonts w:hint="eastAsia"/>
          <w:b/>
          <w:bCs/>
        </w:rPr>
        <w:t xml:space="preserve">基本/乐观/悲观</w:t>
      </w:r>
      <w:r>
        <w:rPr>
          <w:rFonts w:hint="eastAsia"/>
        </w:rPr>
        <w:t xml:space="preserve">三情景目标价区间与概率，形成</w:t>
      </w:r>
      <w:r>
        <w:rPr>
          <w:rFonts w:hint="eastAsia"/>
          <w:b/>
          <w:bCs/>
        </w:rPr>
        <w:t xml:space="preserve">期望值目标价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估值折现的关键假设（WACC、终值增长、ROIC收敛路径）与压力测试结果。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预期差与情景分析"/>
    <w:p>
      <w:pPr>
        <w:pStyle w:val="Heading1"/>
      </w:pPr>
      <w:r>
        <w:t xml:space="preserve">13. </w:t>
      </w:r>
      <w:r>
        <w:rPr>
          <w:rFonts w:hint="eastAsia"/>
        </w:rPr>
        <w:t xml:space="preserve">预期差与情景分析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预期差清单</w:t>
      </w:r>
      <w:r>
        <w:rPr>
          <w:rFonts w:hint="eastAsia"/>
        </w:rPr>
        <w:t xml:space="preserve">：行业节奏（需求/供给/价格）、公司节奏（产品/产能/费用/治理）、财务口径（资本化/收入确认）、估值口径（方法/参数）。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桥接图</w:t>
      </w:r>
      <w:r>
        <w:rPr>
          <w:rFonts w:hint="eastAsia"/>
        </w:rPr>
        <w:t xml:space="preserve">：市场一致预期→我们的预测的关键差异项与证据。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  <w:b/>
          <w:bCs/>
        </w:rPr>
        <w:t xml:space="preserve">情景树</w:t>
      </w:r>
      <w:r>
        <w:rPr>
          <w:rFonts w:hint="eastAsia"/>
        </w:rPr>
        <w:t xml:space="preserve">：核心变量（价格、份额、良率、研发回报）三档区间与分布假设，导出收入/利润/估值的概率分布。</w:t>
      </w:r>
    </w:p>
    <w:p>
      <w:r>
        <w:pict>
          <v:rect style="width:0;height:1.5pt" o:hralign="center" o:hrstd="t" o:hr="t"/>
        </w:pict>
      </w:r>
    </w:p>
    <w:bookmarkEnd w:id="56"/>
    <w:bookmarkStart w:id="57" w:name="催化剂时间轴管理"/>
    <w:p>
      <w:pPr>
        <w:pStyle w:val="Heading1"/>
      </w:pPr>
      <w:r>
        <w:t xml:space="preserve">14. </w:t>
      </w:r>
      <w:r>
        <w:rPr>
          <w:rFonts w:hint="eastAsia"/>
        </w:rPr>
        <w:t xml:space="preserve">催化剂（时间轴管理）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明确催化剂</w:t>
      </w:r>
      <w:r>
        <w:rPr>
          <w:rFonts w:hint="eastAsia"/>
          <w:b/>
          <w:bCs/>
        </w:rPr>
        <w:t xml:space="preserve">发生时间窗口</w:t>
      </w:r>
      <w:r>
        <w:t xml:space="preserve">、</w:t>
      </w:r>
      <w:r>
        <w:rPr>
          <w:rFonts w:hint="eastAsia"/>
          <w:b/>
          <w:bCs/>
        </w:rPr>
        <w:t xml:space="preserve">强度预估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可验证证据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32"/>
        </w:numPr>
      </w:pPr>
      <w:r>
        <w:rPr>
          <w:rFonts w:hint="eastAsia"/>
        </w:rPr>
        <w:t xml:space="preserve">产能投产/认证通过/中标公告/新品发布/提价落地/成本拐点/政策落地/并购交割/回购或增持/分红方案。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为每个催化剂设置</w:t>
      </w:r>
      <w:r>
        <w:rPr>
          <w:rFonts w:hint="eastAsia"/>
          <w:b/>
          <w:bCs/>
        </w:rPr>
        <w:t xml:space="preserve">前-中-后</w:t>
      </w:r>
      <w:r>
        <w:rPr>
          <w:rFonts w:hint="eastAsia"/>
        </w:rPr>
        <w:t xml:space="preserve">三阶段观察指标与应对策略。</w:t>
      </w:r>
    </w:p>
    <w:p>
      <w:r>
        <w:pict>
          <v:rect style="width:0;height:1.5pt" o:hralign="center" o:hrstd="t" o:hr="t"/>
        </w:pict>
      </w:r>
    </w:p>
    <w:bookmarkEnd w:id="57"/>
    <w:bookmarkStart w:id="58" w:name="风险提示概率影响矩阵"/>
    <w:p>
      <w:pPr>
        <w:pStyle w:val="Heading1"/>
      </w:pPr>
      <w:r>
        <w:t xml:space="preserve">15. </w:t>
      </w:r>
      <w:r>
        <w:rPr>
          <w:rFonts w:hint="eastAsia"/>
        </w:rPr>
        <w:t xml:space="preserve">风险提示（概率×影响矩阵）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需求不及预期、价格下行、原材上涨、产能爬坡不及、渠道/客户集中、政策变动、汇率/利率、应收坏账、募投进度、惯性“财务优化”（一次性收益/资本化）等。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设置</w:t>
      </w:r>
      <w:r>
        <w:rPr>
          <w:rFonts w:hint="eastAsia"/>
          <w:b/>
          <w:bCs/>
        </w:rPr>
        <w:t xml:space="preserve">触发器</w:t>
      </w:r>
      <w:r>
        <w:rPr>
          <w:rFonts w:hint="eastAsia"/>
        </w:rPr>
        <w:t xml:space="preserve">（早期信号）与</w:t>
      </w:r>
      <w:r>
        <w:rPr>
          <w:rFonts w:hint="eastAsia"/>
          <w:b/>
          <w:bCs/>
        </w:rPr>
        <w:t xml:space="preserve">缓释措施</w:t>
      </w:r>
      <w:r>
        <w:rPr>
          <w:rFonts w:hint="eastAsia"/>
        </w:rPr>
        <w:t xml:space="preserve">（套期保值、签订锁价条款、调整节奏、优化账期）。</w:t>
      </w:r>
    </w:p>
    <w:p>
      <w:r>
        <w:pict>
          <v:rect style="width:0;height:1.5pt" o:hralign="center" o:hrstd="t" o:hr="t"/>
        </w:pict>
      </w:r>
    </w:p>
    <w:bookmarkEnd w:id="58"/>
    <w:bookmarkStart w:id="59" w:name="投资建议与仓位交易框架"/>
    <w:p>
      <w:pPr>
        <w:pStyle w:val="Heading1"/>
      </w:pPr>
      <w:r>
        <w:t xml:space="preserve">16. </w:t>
      </w:r>
      <w:r>
        <w:rPr>
          <w:rFonts w:hint="eastAsia"/>
        </w:rPr>
        <w:t xml:space="preserve">投资建议与仓位/交易框架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建议：买入/观察/回避；对应目标价/区间与期限（12个月/24个月）。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  <w:b/>
          <w:bCs/>
        </w:rPr>
        <w:t xml:space="preserve">仓位建议</w:t>
      </w:r>
      <w:r>
        <w:rPr>
          <w:rFonts w:hint="eastAsia"/>
        </w:rPr>
        <w:t xml:space="preserve">：按胜率×赔率×相关性给出核心/卫星仓位框架；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进入/加仓/减仓/退出的</w:t>
      </w:r>
      <w:r>
        <w:rPr>
          <w:rFonts w:hint="eastAsia"/>
          <w:b/>
          <w:bCs/>
        </w:rPr>
        <w:t xml:space="preserve">量化条件</w:t>
      </w:r>
      <w:r>
        <w:rPr>
          <w:rFonts w:hint="eastAsia"/>
        </w:rPr>
        <w:t xml:space="preserve">（估值分位、预期差兑现度、交易拥挤度、波动阈值）。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止损/复盘：明确止损线（基本面或价格/估值触发），复盘模板与更新节奏。</w:t>
      </w:r>
    </w:p>
    <w:p>
      <w:r>
        <w:pict>
          <v:rect style="width:0;height:1.5pt" o:hralign="center" o:hrstd="t" o:hr="t"/>
        </w:pict>
      </w:r>
    </w:p>
    <w:bookmarkEnd w:id="59"/>
    <w:bookmarkStart w:id="60" w:name="跟踪计划与里程碑"/>
    <w:p>
      <w:pPr>
        <w:pStyle w:val="Heading1"/>
      </w:pPr>
      <w:r>
        <w:t xml:space="preserve">17. </w:t>
      </w:r>
      <w:r>
        <w:rPr>
          <w:rFonts w:hint="eastAsia"/>
        </w:rPr>
        <w:t xml:space="preserve">跟踪计划与里程碑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季度级</w:t>
      </w:r>
      <w:r>
        <w:rPr>
          <w:rFonts w:hint="eastAsia"/>
        </w:rPr>
        <w:t xml:space="preserve">：财报KPI对照表（收入、毛利率、费用率、ROE/ROIC、FCF、CCC、订单/在手/交付）。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月度级</w:t>
      </w:r>
      <w:r>
        <w:rPr>
          <w:rFonts w:hint="eastAsia"/>
        </w:rPr>
        <w:t xml:space="preserve">：高频数据（价格指数/招标节奏/渠道动销/搜索趋势/专利/招聘/证照）。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  <w:b/>
          <w:bCs/>
        </w:rPr>
        <w:t xml:space="preserve">事件级</w:t>
      </w:r>
      <w:r>
        <w:rPr>
          <w:rFonts w:hint="eastAsia"/>
        </w:rPr>
        <w:t xml:space="preserve">：并购/增发/回购/股东增减持与董监高变动；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里程碑甘特图：产能节点、认证通过、新品量产、成本拐点、海外拓展节点。</w:t>
      </w:r>
    </w:p>
    <w:p>
      <w:r>
        <w:pict>
          <v:rect style="width:0;height:1.5pt" o:hralign="center" o:hrstd="t" o:hr="t"/>
        </w:pict>
      </w:r>
    </w:p>
    <w:bookmarkEnd w:id="60"/>
    <w:bookmarkStart w:id="61" w:name="附录a模型与图表清单可直接套用"/>
    <w:p>
      <w:pPr>
        <w:pStyle w:val="Heading1"/>
      </w:pPr>
      <w:r>
        <w:t xml:space="preserve">18. </w:t>
      </w:r>
      <w:r>
        <w:rPr>
          <w:rFonts w:hint="eastAsia"/>
        </w:rPr>
        <w:t xml:space="preserve">附录A：模型与图表清单（可直接套用）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三表预测模板</w:t>
      </w:r>
      <w:r>
        <w:rPr>
          <w:rFonts w:hint="eastAsia"/>
        </w:rPr>
        <w:t xml:space="preserve">（损益/资产负债/现金流，5年预测）。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SOTP分部估值表</w:t>
      </w:r>
      <w:r>
        <w:rPr>
          <w:rFonts w:hint="eastAsia"/>
        </w:rPr>
        <w:t xml:space="preserve">（分部倍数、净现金/债务、少数股东权益调整）。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杜邦分解对比表</w:t>
      </w:r>
      <w:r>
        <w:rPr>
          <w:rFonts w:hint="eastAsia"/>
        </w:rPr>
        <w:t xml:space="preserve">（公司</w:t>
      </w:r>
      <w:r>
        <w:t xml:space="preserve"> vs </w:t>
      </w:r>
      <w:r>
        <w:rPr>
          <w:rFonts w:hint="eastAsia"/>
        </w:rPr>
        <w:t xml:space="preserve">2—3家对标）。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资本开支与折旧峰值图</w:t>
      </w:r>
      <w:r>
        <w:rPr>
          <w:rFonts w:hint="eastAsia"/>
        </w:rPr>
        <w:t xml:space="preserve">（柱状+折线）。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FCF历史与预测</w:t>
      </w:r>
      <w:r>
        <w:rPr>
          <w:rFonts w:hint="eastAsia"/>
        </w:rPr>
        <w:t xml:space="preserve">（年度折线）。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产能-价格-成本敏感性热力图</w:t>
      </w:r>
      <w:r>
        <w:t xml:space="preserve">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单位经济模型</w:t>
      </w:r>
      <w:r>
        <w:rPr>
          <w:rFonts w:hint="eastAsia"/>
        </w:rPr>
        <w:t xml:space="preserve">（LTV/CAC/毛利/留存曲线）。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生命周期-估值相位图</w:t>
      </w:r>
      <w:r>
        <w:rPr>
          <w:rFonts w:hint="eastAsia"/>
        </w:rPr>
        <w:t xml:space="preserve">（渗透率标注）。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PEST要点表</w:t>
      </w:r>
      <w:r>
        <w:rPr>
          <w:rFonts w:hint="eastAsia"/>
        </w:rPr>
        <w:t xml:space="preserve">（要素×影响路径×证据）。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  <w:b/>
          <w:bCs/>
        </w:rPr>
        <w:t xml:space="preserve">风险矩阵</w:t>
      </w:r>
      <w:r>
        <w:rPr>
          <w:rFonts w:hint="eastAsia"/>
        </w:rPr>
        <w:t xml:space="preserve">（概率×影响×缓释）。</w:t>
      </w:r>
    </w:p>
    <w:p>
      <w:r>
        <w:pict>
          <v:rect style="width:0;height:1.5pt" o:hralign="center" o:hrstd="t" o:hr="t"/>
        </w:pict>
      </w:r>
    </w:p>
    <w:bookmarkEnd w:id="61"/>
    <w:bookmarkStart w:id="62" w:name="附录b数据与尽调清单"/>
    <w:p>
      <w:pPr>
        <w:pStyle w:val="Heading1"/>
      </w:pPr>
      <w:r>
        <w:t xml:space="preserve">19. </w:t>
      </w:r>
      <w:r>
        <w:rPr>
          <w:rFonts w:hint="eastAsia"/>
        </w:rPr>
        <w:t xml:space="preserve">附录B：数据与尽调清单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财务数据</w:t>
      </w:r>
      <w:r>
        <w:rPr>
          <w:rFonts w:hint="eastAsia"/>
        </w:rPr>
        <w:t xml:space="preserve">：分业务/分区域收入、毛利率、费用项、Capex、折旧摊销、在建工程、应收/存货明细、关联交易、审计意见。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运营数据</w:t>
      </w:r>
      <w:r>
        <w:rPr>
          <w:rFonts w:hint="eastAsia"/>
        </w:rPr>
        <w:t xml:space="preserve">：产能、良率、单位成本、交付周期、订单与backlog、渠道库存与动销、客户续约率。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外部数据</w:t>
      </w:r>
      <w:r>
        <w:rPr>
          <w:rFonts w:hint="eastAsia"/>
        </w:rPr>
        <w:t xml:space="preserve">：宏观（PMI/利率/汇率）、行业（价格指数/开工/招标）、竞品（份额/价格/新品/产能）、政策（标准/补贴/关税）。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  <w:b/>
          <w:bCs/>
        </w:rPr>
        <w:t xml:space="preserve">访谈提纲</w:t>
      </w:r>
      <w:r>
        <w:rPr>
          <w:rFonts w:hint="eastAsia"/>
        </w:rPr>
        <w:t xml:space="preserve">：管理层/财务/市场/研发/供应链/客户/渠道/前员工/行业专家；核心问题列表与交叉验证点。</w:t>
      </w:r>
    </w:p>
    <w:p>
      <w:r>
        <w:pict>
          <v:rect style="width:0;height:1.5pt" o:hralign="center" o:hrstd="t" o:hr="t"/>
        </w:pict>
      </w:r>
    </w:p>
    <w:bookmarkEnd w:id="62"/>
    <w:bookmarkStart w:id="63" w:name="附录c撰写与审阅流程"/>
    <w:p>
      <w:pPr>
        <w:pStyle w:val="Heading1"/>
      </w:pPr>
      <w:r>
        <w:t xml:space="preserve">20. </w:t>
      </w:r>
      <w:r>
        <w:rPr>
          <w:rFonts w:hint="eastAsia"/>
        </w:rPr>
        <w:t xml:space="preserve">附录C：撰写与审阅流程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作业流</w:t>
      </w:r>
      <w:r>
        <w:rPr>
          <w:rFonts w:hint="eastAsia"/>
        </w:rPr>
        <w:t xml:space="preserve">：资料收集→框架搭建→模型假设→交叉验证→出初稿→内审→外部求证→定稿→发布。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质量门槛</w:t>
      </w:r>
      <w:r>
        <w:rPr>
          <w:rFonts w:hint="eastAsia"/>
        </w:rPr>
        <w:t xml:space="preserve">：数据可追溯、口径一致、图表齐备、假设透明、结论边界清晰。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  <w:b/>
          <w:bCs/>
        </w:rPr>
        <w:t xml:space="preserve">更新机制</w:t>
      </w:r>
      <w:r>
        <w:rPr>
          <w:rFonts w:hint="eastAsia"/>
        </w:rPr>
        <w:t xml:space="preserve">：财报季/重大事件后48小时内更新要点与模型；季度滚动复盘预期差与仓位建议。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</w:rPr>
        <w:t xml:space="preserve">注：本提纲在附件提供的结构基础上扩展完善，覆盖</w:t>
      </w:r>
      <w:r>
        <w:rPr>
          <w:rFonts w:hint="eastAsia"/>
          <w:b/>
          <w:bCs/>
        </w:rPr>
        <w:t xml:space="preserve">摘要/投资逻辑/盈利预测与估值建议/预期收益率/股息率/结论/预期差/催化剂/风险提示</w:t>
      </w:r>
      <w:r>
        <w:t xml:space="preserve">、</w:t>
      </w:r>
      <w:r>
        <w:rPr>
          <w:rFonts w:hint="eastAsia"/>
          <w:b/>
          <w:bCs/>
        </w:rPr>
        <w:t xml:space="preserve">公司经营分析</w:t>
      </w:r>
      <w:r>
        <w:t xml:space="preserve">、</w:t>
      </w:r>
      <w:r>
        <w:rPr>
          <w:rFonts w:hint="eastAsia"/>
          <w:b/>
          <w:bCs/>
        </w:rPr>
        <w:t xml:space="preserve">行业生命周期与PEST</w:t>
      </w:r>
      <w:r>
        <w:t xml:space="preserve">、</w:t>
      </w:r>
      <w:r>
        <w:rPr>
          <w:rFonts w:hint="eastAsia"/>
          <w:b/>
          <w:bCs/>
        </w:rPr>
        <w:t xml:space="preserve">价值链与商业模式</w:t>
      </w:r>
      <w:r>
        <w:t xml:space="preserve">、</w:t>
      </w:r>
      <w:r>
        <w:rPr>
          <w:rFonts w:hint="eastAsia"/>
          <w:b/>
          <w:bCs/>
        </w:rPr>
        <w:t xml:space="preserve">同业对比（含杜邦）</w:t>
      </w:r>
      <w:r>
        <w:t xml:space="preserve">、</w:t>
      </w:r>
      <w:r>
        <w:rPr>
          <w:rFonts w:hint="eastAsia"/>
          <w:b/>
          <w:bCs/>
        </w:rPr>
        <w:t xml:space="preserve">现金流与资本开支/真实现金性利润</w:t>
      </w:r>
      <w:r>
        <w:rPr>
          <w:rFonts w:hint="eastAsia"/>
        </w:rPr>
        <w:t xml:space="preserve">、以及</w:t>
      </w:r>
      <w:r>
        <w:rPr>
          <w:rFonts w:hint="eastAsia"/>
          <w:b/>
          <w:bCs/>
        </w:rPr>
        <w:t xml:space="preserve">四层面估值框架</w:t>
      </w:r>
      <w:r>
        <w:rPr>
          <w:rFonts w:hint="eastAsia"/>
        </w:rPr>
        <w:t xml:space="preserve">等关键维度，可直接作为个股深度报告的写作与复盘模板。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2025-09-16T11:01:23Z</dcterms:created>
  <dcterms:modified xsi:type="dcterms:W3CDTF">2025-09-16T11:01:23Z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