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56"/>
        </w:rPr>
        <w:t>INITIATING COVERAGE</w:t>
      </w:r>
    </w:p>
    <w:p>
      <w:pPr>
        <w:jc w:val="center"/>
      </w:pPr>
      <w:r>
        <w:rPr>
          <w:rFonts w:ascii="Arial" w:hAnsi="Arial"/>
          <w:b/>
          <w:sz w:val="48"/>
        </w:rPr>
        <w:t>Advanced Micro Devices, Inc.</w:t>
      </w:r>
    </w:p>
    <w:p>
      <w:pPr>
        <w:jc w:val="center"/>
      </w:pPr>
      <w:r>
        <w:rPr>
          <w:rFonts w:ascii="Arial" w:hAnsi="Arial"/>
          <w:i/>
          <w:sz w:val="32"/>
        </w:rPr>
        <w:t>NASDAQ: AMD</w:t>
      </w:r>
    </w:p>
    <w:p/>
    <w:p>
      <w:pPr>
        <w:jc w:val="center"/>
      </w:pPr>
      <w:r>
        <w:rPr>
          <w:rFonts w:ascii="Arial" w:hAnsi="Arial"/>
          <w:b/>
          <w:color w:val="E74C3C"/>
          <w:sz w:val="36"/>
        </w:rPr>
        <w:t>RATING: SELL</w:t>
      </w:r>
    </w:p>
    <w:p>
      <w:pPr>
        <w:jc w:val="center"/>
      </w:pPr>
      <w:r>
        <w:rPr>
          <w:rFonts w:ascii="Arial" w:hAnsi="Arial"/>
          <w:sz w:val="28"/>
        </w:rPr>
        <w:t>Price Target: $164.00  |  Current: $204.91  |  Downside: -20%</w:t>
      </w:r>
    </w:p>
    <w:p/>
    <w:p>
      <w:pPr>
        <w:jc w:val="center"/>
      </w:pPr>
      <w:r>
        <w:t>February 26, 2026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sz w:val="28"/>
        </w:rPr>
        <w:t>EXECUTIVE SUMMARY</w:t>
      </w:r>
    </w:p>
    <w:p>
      <w:r>
        <w:t>Advanced Micro Devices (AMD) is a leading semiconductor company designing processors, graphics, and AI accelerators. We initiate coverage with a SELL rating and $164.00 price target, representing 20% downside from current levels of $204.91.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Recommendation</w:t>
            </w:r>
          </w:p>
        </w:tc>
        <w:tc>
          <w:tcPr>
            <w:tcW w:type="dxa" w:w="4320"/>
          </w:tcPr>
          <w:p>
            <w:r>
              <w:t>SELL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Target</w:t>
            </w:r>
          </w:p>
        </w:tc>
        <w:tc>
          <w:tcPr>
            <w:tcW w:type="dxa" w:w="4320"/>
          </w:tcPr>
          <w:p>
            <w:r>
              <w:t>$164.00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Current Price (Verified)</w:t>
            </w:r>
          </w:p>
        </w:tc>
        <w:tc>
          <w:tcPr>
            <w:tcW w:type="dxa" w:w="4320"/>
          </w:tcPr>
          <w:p>
            <w:r>
              <w:t>$204.91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Upside/Downside</w:t>
            </w:r>
          </w:p>
        </w:tc>
        <w:tc>
          <w:tcPr>
            <w:tcW w:type="dxa" w:w="4320"/>
          </w:tcPr>
          <w:p>
            <w:r>
              <w:t>-20%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Market Cap</w:t>
            </w:r>
          </w:p>
        </w:tc>
        <w:tc>
          <w:tcPr>
            <w:tcW w:type="dxa" w:w="4320"/>
          </w:tcPr>
          <w:p>
            <w:r>
              <w:t>~$350B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FY2025 Revenue</w:t>
            </w:r>
          </w:p>
        </w:tc>
        <w:tc>
          <w:tcPr>
            <w:tcW w:type="dxa" w:w="4320"/>
          </w:tcPr>
          <w:p>
            <w:r>
              <w:t>$26.3B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FY2025 EPS</w:t>
            </w:r>
          </w:p>
        </w:tc>
        <w:tc>
          <w:tcPr>
            <w:tcW w:type="dxa" w:w="4320"/>
          </w:tcPr>
          <w:p>
            <w:r>
              <w:t>$1.05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Forward P/E</w:t>
            </w:r>
          </w:p>
        </w:tc>
        <w:tc>
          <w:tcPr>
            <w:tcW w:type="dxa" w:w="4320"/>
          </w:tcPr>
          <w:p>
            <w:r>
              <w:t>195x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sz w:val="24"/>
        </w:rPr>
        <w:t>Investment Highlights</w:t>
      </w:r>
    </w:p>
    <w:p>
      <w:pPr>
        <w:pStyle w:val="ListBullet"/>
      </w:pPr>
      <w:r>
        <w:t>Data Center Growth: EPYC server processors gaining share; Instinct AI accelerators positioned for AI boom</w:t>
      </w:r>
    </w:p>
    <w:p>
      <w:pPr>
        <w:pStyle w:val="ListBullet"/>
      </w:pPr>
      <w:r>
        <w:t>Current Valuation Unsustainable: Trading at 195x forward P/E implies unrealistic growth expectations</w:t>
      </w:r>
    </w:p>
    <w:p>
      <w:pPr>
        <w:pStyle w:val="ListBullet"/>
      </w:pPr>
      <w:r>
        <w:t>Key Risk - NVIDIA CUDA Moat: Software ecosystem provides significant competitive barrier</w:t>
      </w:r>
    </w:p>
    <w:p>
      <w:pPr>
        <w:pStyle w:val="ListBullet"/>
      </w:pPr>
      <w:r>
        <w:t>Key Risk - Intel Recovery Potential: Manufacturing improvements could reverse server share gains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sz w:val="28"/>
        </w:rPr>
        <w:t>1. COMPANY OVERVIEW</w:t>
      </w:r>
    </w:p>
    <w:p>
      <w:pPr>
        <w:pStyle w:val="Heading2"/>
      </w:pPr>
      <w:r>
        <w:rPr>
          <w:rFonts w:ascii="Arial" w:hAnsi="Arial"/>
          <w:b/>
          <w:sz w:val="24"/>
        </w:rPr>
        <w:t>1.1 Business Description</w:t>
      </w:r>
    </w:p>
    <w:p>
      <w:r>
        <w:t>Advanced Micro Devices (AMD) is a global semiconductor company designing CPUs, GPUs, and AI accelerators for data center, client, gaming, and embedded markets. Founded in 1969, AMD has evolved from an Intel-compatible processor supplier to a technology leader competing at the forefront of CPU and GPU performance.</w:t>
      </w:r>
    </w:p>
    <w:p>
      <w:pPr>
        <w:pStyle w:val="Heading2"/>
      </w:pPr>
      <w:r>
        <w:rPr>
          <w:rFonts w:ascii="Arial" w:hAnsi="Arial"/>
          <w:b/>
          <w:sz w:val="24"/>
        </w:rPr>
        <w:t>1.2 Product Portfolio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Product Line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Products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FY2025 Revenue</w:t>
            </w:r>
          </w:p>
        </w:tc>
      </w:tr>
      <w:tr>
        <w:tc>
          <w:tcPr>
            <w:tcW w:type="dxa" w:w="2880"/>
          </w:tcPr>
          <w:p>
            <w:r>
              <w:t>Client Processors</w:t>
            </w:r>
          </w:p>
        </w:tc>
        <w:tc>
          <w:tcPr>
            <w:tcW w:type="dxa" w:w="2880"/>
          </w:tcPr>
          <w:p>
            <w:r>
              <w:t>Ryzen 7000/8000 Series</w:t>
            </w:r>
          </w:p>
        </w:tc>
        <w:tc>
          <w:tcPr>
            <w:tcW w:type="dxa" w:w="2880"/>
          </w:tcPr>
          <w:p>
            <w:r>
              <w:t>$6.5B</w:t>
            </w:r>
          </w:p>
        </w:tc>
      </w:tr>
      <w:tr>
        <w:tc>
          <w:tcPr>
            <w:tcW w:type="dxa" w:w="2880"/>
          </w:tcPr>
          <w:p>
            <w:r>
              <w:t>Server CPUs</w:t>
            </w:r>
          </w:p>
        </w:tc>
        <w:tc>
          <w:tcPr>
            <w:tcW w:type="dxa" w:w="2880"/>
          </w:tcPr>
          <w:p>
            <w:r>
              <w:t>EPYC 9000 Series (Genoa)</w:t>
            </w:r>
          </w:p>
        </w:tc>
        <w:tc>
          <w:tcPr>
            <w:tcW w:type="dxa" w:w="2880"/>
          </w:tcPr>
          <w:p>
            <w:r>
              <w:t>$10.5B</w:t>
            </w:r>
          </w:p>
        </w:tc>
      </w:tr>
      <w:tr>
        <w:tc>
          <w:tcPr>
            <w:tcW w:type="dxa" w:w="2880"/>
          </w:tcPr>
          <w:p>
            <w:r>
              <w:t>Data Center GPU</w:t>
            </w:r>
          </w:p>
        </w:tc>
        <w:tc>
          <w:tcPr>
            <w:tcW w:type="dxa" w:w="2880"/>
          </w:tcPr>
          <w:p>
            <w:r>
              <w:t>Instinct MI300X, MI325X</w:t>
            </w:r>
          </w:p>
        </w:tc>
        <w:tc>
          <w:tcPr>
            <w:tcW w:type="dxa" w:w="2880"/>
          </w:tcPr>
          <w:p>
            <w:r>
              <w:t>$4.0B</w:t>
            </w:r>
          </w:p>
        </w:tc>
      </w:tr>
      <w:tr>
        <w:tc>
          <w:tcPr>
            <w:tcW w:type="dxa" w:w="2880"/>
          </w:tcPr>
          <w:p>
            <w:r>
              <w:t>Graphics</w:t>
            </w:r>
          </w:p>
        </w:tc>
        <w:tc>
          <w:tcPr>
            <w:tcW w:type="dxa" w:w="2880"/>
          </w:tcPr>
          <w:p>
            <w:r>
              <w:t>Radeon RX 7000 Series</w:t>
            </w:r>
          </w:p>
        </w:tc>
        <w:tc>
          <w:tcPr>
            <w:tcW w:type="dxa" w:w="2880"/>
          </w:tcPr>
          <w:p>
            <w:r>
              <w:t>$3.8B</w:t>
            </w:r>
          </w:p>
        </w:tc>
      </w:tr>
      <w:tr>
        <w:tc>
          <w:tcPr>
            <w:tcW w:type="dxa" w:w="2880"/>
          </w:tcPr>
          <w:p>
            <w:r>
              <w:t>FPGA &amp; Adaptive</w:t>
            </w:r>
          </w:p>
        </w:tc>
        <w:tc>
          <w:tcPr>
            <w:tcW w:type="dxa" w:w="2880"/>
          </w:tcPr>
          <w:p>
            <w:r>
              <w:t>Xilinx products</w:t>
            </w:r>
          </w:p>
        </w:tc>
        <w:tc>
          <w:tcPr>
            <w:tcW w:type="dxa" w:w="2880"/>
          </w:tcPr>
          <w:p>
            <w:r>
              <w:t>$3.5B</w:t>
            </w:r>
          </w:p>
        </w:tc>
      </w:tr>
      <w:tr>
        <w:tc>
          <w:tcPr>
            <w:tcW w:type="dxa" w:w="2880"/>
          </w:tcPr>
          <w:p>
            <w:r>
              <w:t>Semi-Custom</w:t>
            </w:r>
          </w:p>
        </w:tc>
        <w:tc>
          <w:tcPr>
            <w:tcW w:type="dxa" w:w="2880"/>
          </w:tcPr>
          <w:p>
            <w:r>
              <w:t>PlayStation, Xbox</w:t>
            </w:r>
          </w:p>
        </w:tc>
        <w:tc>
          <w:tcPr>
            <w:tcW w:type="dxa" w:w="2880"/>
          </w:tcPr>
          <w:p>
            <w:r>
              <w:t>$2.0B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b/>
          <w:sz w:val="28"/>
        </w:rPr>
        <w:t>2. INDUSTRY ANALYSIS</w:t>
      </w:r>
    </w:p>
    <w:p>
      <w:pPr>
        <w:pStyle w:val="Heading2"/>
      </w:pPr>
      <w:r>
        <w:rPr>
          <w:rFonts w:ascii="Arial" w:hAnsi="Arial"/>
          <w:b/>
          <w:sz w:val="24"/>
        </w:rPr>
        <w:t>2.1 Total Addressable Market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Market Segment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2025 TAM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2030E TAM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CAGR</w:t>
            </w:r>
          </w:p>
        </w:tc>
      </w:tr>
      <w:tr>
        <w:tc>
          <w:tcPr>
            <w:tcW w:type="dxa" w:w="2160"/>
          </w:tcPr>
          <w:p>
            <w:r>
              <w:t>AI Accelerators</w:t>
            </w:r>
          </w:p>
        </w:tc>
        <w:tc>
          <w:tcPr>
            <w:tcW w:type="dxa" w:w="2160"/>
          </w:tcPr>
          <w:p>
            <w:r>
              <w:t>$120B</w:t>
            </w:r>
          </w:p>
        </w:tc>
        <w:tc>
          <w:tcPr>
            <w:tcW w:type="dxa" w:w="2160"/>
          </w:tcPr>
          <w:p>
            <w:r>
              <w:t>$350B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Server CPUs</w:t>
            </w:r>
          </w:p>
        </w:tc>
        <w:tc>
          <w:tcPr>
            <w:tcW w:type="dxa" w:w="2160"/>
          </w:tcPr>
          <w:p>
            <w:r>
              <w:t>$45B</w:t>
            </w:r>
          </w:p>
        </w:tc>
        <w:tc>
          <w:tcPr>
            <w:tcW w:type="dxa" w:w="2160"/>
          </w:tcPr>
          <w:p>
            <w:r>
              <w:t>$75B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Client CPUs</w:t>
            </w:r>
          </w:p>
        </w:tc>
        <w:tc>
          <w:tcPr>
            <w:tcW w:type="dxa" w:w="2160"/>
          </w:tcPr>
          <w:p>
            <w:r>
              <w:t>$35B</w:t>
            </w:r>
          </w:p>
        </w:tc>
        <w:tc>
          <w:tcPr>
            <w:tcW w:type="dxa" w:w="2160"/>
          </w:tcPr>
          <w:p>
            <w:r>
              <w:t>$42B</w:t>
            </w:r>
          </w:p>
        </w:tc>
        <w:tc>
          <w:tcPr>
            <w:tcW w:type="dxa" w:w="2160"/>
          </w:tcPr>
          <w:p>
            <w:r>
              <w:t>4%</w:t>
            </w:r>
          </w:p>
        </w:tc>
      </w:tr>
      <w:tr>
        <w:tc>
          <w:tcPr>
            <w:tcW w:type="dxa" w:w="2160"/>
          </w:tcPr>
          <w:p>
            <w:r>
              <w:t>Embedded</w:t>
            </w:r>
          </w:p>
        </w:tc>
        <w:tc>
          <w:tcPr>
            <w:tcW w:type="dxa" w:w="2160"/>
          </w:tcPr>
          <w:p>
            <w:r>
              <w:t>$30B</w:t>
            </w:r>
          </w:p>
        </w:tc>
        <w:tc>
          <w:tcPr>
            <w:tcW w:type="dxa" w:w="2160"/>
          </w:tcPr>
          <w:p>
            <w:r>
              <w:t>$40B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</w:tbl>
    <w:p/>
    <w:p>
      <w:r>
        <w:t>The AI accelerator market represents the fastest-growing segment, driven by hyperscale demand for training and inference. AMD's Instinct family is positioned to capture significant share in this expanding market.</w:t>
      </w:r>
    </w:p>
    <w:p>
      <w:pPr>
        <w:pStyle w:val="Heading2"/>
      </w:pPr>
      <w:r>
        <w:rPr>
          <w:rFonts w:ascii="Arial" w:hAnsi="Arial"/>
          <w:b/>
          <w:sz w:val="24"/>
        </w:rPr>
        <w:t>2.2 Competitive Landscape</w:t>
      </w:r>
    </w:p>
    <w:p>
      <w:r>
        <w:t>AMD competes across multiple fronts: (1) Client processors vs. Intel, (2) Server CPUs vs. Intel, (3) Discrete GPUs vs. NVIDIA, and (4) AI Accelerators vs. NVIDIA. NVIDIA maintains a dominant position in AI accelerators due to the CUDA software ecosystem.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sz w:val="28"/>
        </w:rPr>
        <w:t>3. FINANCIAL ANALYSIS</w:t>
      </w:r>
    </w:p>
    <w:p>
      <w:pPr>
        <w:pStyle w:val="Heading2"/>
      </w:pPr>
      <w:r>
        <w:rPr>
          <w:rFonts w:ascii="Arial" w:hAnsi="Arial"/>
          <w:b/>
          <w:sz w:val="24"/>
        </w:rPr>
        <w:t>3.1 Revenue Trends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Fiscal Year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Revenue ($B)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YoY Growth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 Driver</w:t>
            </w:r>
          </w:p>
        </w:tc>
      </w:tr>
      <w:tr>
        <w:tc>
          <w:tcPr>
            <w:tcW w:type="dxa" w:w="2160"/>
          </w:tcPr>
          <w:p>
            <w:r>
              <w:t>FY2023</w:t>
            </w:r>
          </w:p>
        </w:tc>
        <w:tc>
          <w:tcPr>
            <w:tcW w:type="dxa" w:w="2160"/>
          </w:tcPr>
          <w:p>
            <w:r>
              <w:t>21.3</w:t>
            </w:r>
          </w:p>
        </w:tc>
        <w:tc>
          <w:tcPr>
            <w:tcW w:type="dxa" w:w="2160"/>
          </w:tcPr>
          <w:p>
            <w:r>
              <w:t>-10%</w:t>
            </w:r>
          </w:p>
        </w:tc>
        <w:tc>
          <w:tcPr>
            <w:tcW w:type="dxa" w:w="2160"/>
          </w:tcPr>
          <w:p>
            <w:r>
              <w:t>PC market downturn</w:t>
            </w:r>
          </w:p>
        </w:tc>
      </w:tr>
      <w:tr>
        <w:tc>
          <w:tcPr>
            <w:tcW w:type="dxa" w:w="2160"/>
          </w:tcPr>
          <w:p>
            <w:r>
              <w:t>FY2024</w:t>
            </w:r>
          </w:p>
        </w:tc>
        <w:tc>
          <w:tcPr>
            <w:tcW w:type="dxa" w:w="2160"/>
          </w:tcPr>
          <w:p>
            <w:r>
              <w:t>25.7</w:t>
            </w:r>
          </w:p>
        </w:tc>
        <w:tc>
          <w:tcPr>
            <w:tcW w:type="dxa" w:w="2160"/>
          </w:tcPr>
          <w:p>
            <w:r>
              <w:t>+21%</w:t>
            </w:r>
          </w:p>
        </w:tc>
        <w:tc>
          <w:tcPr>
            <w:tcW w:type="dxa" w:w="2160"/>
          </w:tcPr>
          <w:p>
            <w:r>
              <w:t>Server, AI ramp</w:t>
            </w:r>
          </w:p>
        </w:tc>
      </w:tr>
      <w:tr>
        <w:tc>
          <w:tcPr>
            <w:tcW w:type="dxa" w:w="2160"/>
          </w:tcPr>
          <w:p>
            <w:r>
              <w:t>FY2025</w:t>
            </w:r>
          </w:p>
        </w:tc>
        <w:tc>
          <w:tcPr>
            <w:tcW w:type="dxa" w:w="2160"/>
          </w:tcPr>
          <w:p>
            <w:r>
              <w:t>26.3</w:t>
            </w:r>
          </w:p>
        </w:tc>
        <w:tc>
          <w:tcPr>
            <w:tcW w:type="dxa" w:w="2160"/>
          </w:tcPr>
          <w:p>
            <w:r>
              <w:t>+2%</w:t>
            </w:r>
          </w:p>
        </w:tc>
        <w:tc>
          <w:tcPr>
            <w:tcW w:type="dxa" w:w="2160"/>
          </w:tcPr>
          <w:p>
            <w:r>
              <w:t>Data Center growth</w:t>
            </w:r>
          </w:p>
        </w:tc>
      </w:tr>
      <w:tr>
        <w:tc>
          <w:tcPr>
            <w:tcW w:type="dxa" w:w="2160"/>
          </w:tcPr>
          <w:p>
            <w:r>
              <w:t>FY2026E</w:t>
            </w:r>
          </w:p>
        </w:tc>
        <w:tc>
          <w:tcPr>
            <w:tcW w:type="dxa" w:w="2160"/>
          </w:tcPr>
          <w:p>
            <w:r>
              <w:t>32.1</w:t>
            </w:r>
          </w:p>
        </w:tc>
        <w:tc>
          <w:tcPr>
            <w:tcW w:type="dxa" w:w="2160"/>
          </w:tcPr>
          <w:p>
            <w:r>
              <w:t>+22%</w:t>
            </w:r>
          </w:p>
        </w:tc>
        <w:tc>
          <w:tcPr>
            <w:tcW w:type="dxa" w:w="2160"/>
          </w:tcPr>
          <w:p>
            <w:r>
              <w:t>Instinct acceleration</w:t>
            </w:r>
          </w:p>
        </w:tc>
      </w:tr>
      <w:tr>
        <w:tc>
          <w:tcPr>
            <w:tcW w:type="dxa" w:w="2160"/>
          </w:tcPr>
          <w:p>
            <w:r>
              <w:t>FY2027E</w:t>
            </w:r>
          </w:p>
        </w:tc>
        <w:tc>
          <w:tcPr>
            <w:tcW w:type="dxa" w:w="2160"/>
          </w:tcPr>
          <w:p>
            <w:r>
              <w:t>37.9</w:t>
            </w:r>
          </w:p>
        </w:tc>
        <w:tc>
          <w:tcPr>
            <w:tcW w:type="dxa" w:w="2160"/>
          </w:tcPr>
          <w:p>
            <w:r>
              <w:t>+18%</w:t>
            </w:r>
          </w:p>
        </w:tc>
        <w:tc>
          <w:tcPr>
            <w:tcW w:type="dxa" w:w="2160"/>
          </w:tcPr>
          <w:p>
            <w:r>
              <w:t>Continued AI growth</w:t>
            </w:r>
          </w:p>
        </w:tc>
      </w:tr>
    </w:tbl>
    <w:p>
      <w:pPr>
        <w:pStyle w:val="Heading2"/>
      </w:pPr>
      <w:r>
        <w:rPr>
          <w:rFonts w:ascii="Arial" w:hAnsi="Arial"/>
          <w:b/>
          <w:sz w:val="24"/>
        </w:rPr>
        <w:t>3.2 Profitability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FY2023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FY2024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FY2025</w:t>
            </w:r>
          </w:p>
        </w:tc>
      </w:tr>
      <w:tr>
        <w:tc>
          <w:tcPr>
            <w:tcW w:type="dxa" w:w="2160"/>
          </w:tcPr>
          <w:p>
            <w:r>
              <w:t>Gross Margin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52.1%</w:t>
            </w:r>
          </w:p>
        </w:tc>
      </w:tr>
      <w:tr>
        <w:tc>
          <w:tcPr>
            <w:tcW w:type="dxa" w:w="2160"/>
          </w:tcPr>
          <w:p>
            <w:r>
              <w:t>Operating Margin</w:t>
            </w:r>
          </w:p>
        </w:tc>
        <w:tc>
          <w:tcPr>
            <w:tcW w:type="dxa" w:w="2160"/>
          </w:tcPr>
          <w:p>
            <w:r>
              <w:t>20.2%</w:t>
            </w:r>
          </w:p>
        </w:tc>
        <w:tc>
          <w:tcPr>
            <w:tcW w:type="dxa" w:w="2160"/>
          </w:tcPr>
          <w:p>
            <w:r>
              <w:t>22.4%</w:t>
            </w:r>
          </w:p>
        </w:tc>
        <w:tc>
          <w:tcPr>
            <w:tcW w:type="dxa" w:w="2160"/>
          </w:tcPr>
          <w:p>
            <w:r>
              <w:t>29.3%</w:t>
            </w:r>
          </w:p>
        </w:tc>
      </w:tr>
      <w:tr>
        <w:tc>
          <w:tcPr>
            <w:tcW w:type="dxa" w:w="2160"/>
          </w:tcPr>
          <w:p>
            <w:r>
              <w:t>Net Margin</w:t>
            </w:r>
          </w:p>
        </w:tc>
        <w:tc>
          <w:tcPr>
            <w:tcW w:type="dxa" w:w="2160"/>
          </w:tcPr>
          <w:p>
            <w:r>
              <w:t>5.6%</w:t>
            </w:r>
          </w:p>
        </w:tc>
        <w:tc>
          <w:tcPr>
            <w:tcW w:type="dxa" w:w="2160"/>
          </w:tcPr>
          <w:p>
            <w:r>
              <w:t>8.2%</w:t>
            </w:r>
          </w:p>
        </w:tc>
        <w:tc>
          <w:tcPr>
            <w:tcW w:type="dxa" w:w="2160"/>
          </w:tcPr>
          <w:p>
            <w:r>
              <w:t>6.8%</w:t>
            </w:r>
          </w:p>
        </w:tc>
      </w:tr>
      <w:tr>
        <w:tc>
          <w:tcPr>
            <w:tcW w:type="dxa" w:w="2160"/>
          </w:tcPr>
          <w:p>
            <w:r>
              <w:t>EPS (Diluted)</w:t>
            </w:r>
          </w:p>
        </w:tc>
        <w:tc>
          <w:tcPr>
            <w:tcW w:type="dxa" w:w="2160"/>
          </w:tcPr>
          <w:p>
            <w:r>
              <w:t>$0.77</w:t>
            </w:r>
          </w:p>
        </w:tc>
        <w:tc>
          <w:tcPr>
            <w:tcW w:type="dxa" w:w="2160"/>
          </w:tcPr>
          <w:p>
            <w:r>
              <w:t>$1.21</w:t>
            </w:r>
          </w:p>
        </w:tc>
        <w:tc>
          <w:tcPr>
            <w:tcW w:type="dxa" w:w="2160"/>
          </w:tcPr>
          <w:p>
            <w:r>
              <w:t>$1.05</w:t>
            </w:r>
          </w:p>
        </w:tc>
      </w:tr>
    </w:tbl>
    <w:p/>
    <w:p>
      <w:r>
        <w:t>FY2025 gross margin expanded significantly to 52.1%, driven by higher-margin Data Center mix. We project margins to expand to 55% by FY2028 as AI accelerators become a larger portion of revenue.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sz w:val="28"/>
        </w:rPr>
        <w:t>4. VALUATION ANALYSIS</w:t>
      </w:r>
    </w:p>
    <w:p>
      <w:pPr>
        <w:pStyle w:val="Heading2"/>
      </w:pPr>
      <w:r>
        <w:rPr>
          <w:rFonts w:ascii="Arial" w:hAnsi="Arial"/>
          <w:b/>
          <w:sz w:val="24"/>
        </w:rPr>
        <w:t>4.1 Valuation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Price Target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Upside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Weight</w:t>
            </w:r>
          </w:p>
        </w:tc>
      </w:tr>
      <w:tr>
        <w:tc>
          <w:tcPr>
            <w:tcW w:type="dxa" w:w="2160"/>
          </w:tcPr>
          <w:p>
            <w:r>
              <w:t>DCF (Bull Case)</w:t>
            </w:r>
          </w:p>
        </w:tc>
        <w:tc>
          <w:tcPr>
            <w:tcW w:type="dxa" w:w="2160"/>
          </w:tcPr>
          <w:p>
            <w:r>
              <w:t>$240.00</w:t>
            </w:r>
          </w:p>
        </w:tc>
        <w:tc>
          <w:tcPr>
            <w:tcW w:type="dxa" w:w="2160"/>
          </w:tcPr>
          <w:p>
            <w:r>
              <w:t>+17%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DCF (Base Case)</w:t>
            </w:r>
          </w:p>
        </w:tc>
        <w:tc>
          <w:tcPr>
            <w:tcW w:type="dxa" w:w="2160"/>
          </w:tcPr>
          <w:p>
            <w:r>
              <w:t>$165.00</w:t>
            </w:r>
          </w:p>
        </w:tc>
        <w:tc>
          <w:tcPr>
            <w:tcW w:type="dxa" w:w="2160"/>
          </w:tcPr>
          <w:p>
            <w:r>
              <w:t>-19%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DCF (Bear Case)</w:t>
            </w:r>
          </w:p>
        </w:tc>
        <w:tc>
          <w:tcPr>
            <w:tcW w:type="dxa" w:w="2160"/>
          </w:tcPr>
          <w:p>
            <w:r>
              <w:t>$95.00</w:t>
            </w:r>
          </w:p>
        </w:tc>
        <w:tc>
          <w:tcPr>
            <w:tcW w:type="dxa" w:w="2160"/>
          </w:tcPr>
          <w:p>
            <w:r>
              <w:t>-54%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Forward P/E</w:t>
            </w:r>
          </w:p>
        </w:tc>
        <w:tc>
          <w:tcPr>
            <w:tcW w:type="dxa" w:w="2160"/>
          </w:tcPr>
          <w:p>
            <w:r>
              <w:t>$154.00</w:t>
            </w:r>
          </w:p>
        </w:tc>
        <w:tc>
          <w:tcPr>
            <w:tcW w:type="dxa" w:w="2160"/>
          </w:tcPr>
          <w:p>
            <w:r>
              <w:t>-25%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Blended Target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$164.00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-20%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100%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rPr>
          <w:rFonts w:ascii="Arial" w:hAnsi="Arial"/>
          <w:b/>
          <w:sz w:val="24"/>
        </w:rPr>
        <w:t>4.2 DCF Analysis</w:t>
      </w:r>
    </w:p>
    <w:p>
      <w:r>
        <w:t>Our DCF model uses a 5-year projection period with terminal value based on 3% long-term growth rate. WACC of 10% reflects AMD's risk profile.</w:t>
      </w:r>
    </w:p>
    <w:p/>
    <w:p>
      <w:r>
        <w:t>Under base case assumptions, we project revenue growing from $26.3B in FY2025 to $52.8B in FY2030 (15% CAGR). At $204.91, the stock trades at 195x forward P/E - implying market pricing in bull case scenarios without fundamental support.</w:t>
      </w:r>
    </w:p>
    <w:p>
      <w:pPr>
        <w:pStyle w:val="Heading2"/>
      </w:pPr>
      <w:r>
        <w:rPr>
          <w:rFonts w:ascii="Arial" w:hAnsi="Arial"/>
          <w:b/>
          <w:sz w:val="24"/>
        </w:rPr>
        <w:t>4.3 Comparable Company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Market Cap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P/E (Fwd)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EV/Revenue</w:t>
            </w:r>
          </w:p>
        </w:tc>
      </w:tr>
      <w:tr>
        <w:tc>
          <w:tcPr>
            <w:tcW w:type="dxa" w:w="2160"/>
          </w:tcPr>
          <w:p>
            <w:r>
              <w:t>AMD</w:t>
            </w:r>
          </w:p>
        </w:tc>
        <w:tc>
          <w:tcPr>
            <w:tcW w:type="dxa" w:w="2160"/>
          </w:tcPr>
          <w:p>
            <w:r>
              <w:t>$350B</w:t>
            </w:r>
          </w:p>
        </w:tc>
        <w:tc>
          <w:tcPr>
            <w:tcW w:type="dxa" w:w="2160"/>
          </w:tcPr>
          <w:p>
            <w:r>
              <w:t>195x</w:t>
            </w:r>
          </w:p>
        </w:tc>
        <w:tc>
          <w:tcPr>
            <w:tcW w:type="dxa" w:w="2160"/>
          </w:tcPr>
          <w:p>
            <w:r>
              <w:t>13.3x</w:t>
            </w:r>
          </w:p>
        </w:tc>
      </w:tr>
      <w:tr>
        <w:tc>
          <w:tcPr>
            <w:tcW w:type="dxa" w:w="2160"/>
          </w:tcPr>
          <w:p>
            <w:r>
              <w:t>Intel</w:t>
            </w:r>
          </w:p>
        </w:tc>
        <w:tc>
          <w:tcPr>
            <w:tcW w:type="dxa" w:w="2160"/>
          </w:tcPr>
          <w:p>
            <w:r>
              <w:t>$120B</w:t>
            </w:r>
          </w:p>
        </w:tc>
        <w:tc>
          <w:tcPr>
            <w:tcW w:type="dxa" w:w="2160"/>
          </w:tcPr>
          <w:p>
            <w:r>
              <w:t>18x</w:t>
            </w:r>
          </w:p>
        </w:tc>
        <w:tc>
          <w:tcPr>
            <w:tcW w:type="dxa" w:w="2160"/>
          </w:tcPr>
          <w:p>
            <w:r>
              <w:t>2.2x</w:t>
            </w:r>
          </w:p>
        </w:tc>
      </w:tr>
      <w:tr>
        <w:tc>
          <w:tcPr>
            <w:tcW w:type="dxa" w:w="2160"/>
          </w:tcPr>
          <w:p>
            <w:r>
              <w:t>NVIDIA</w:t>
            </w:r>
          </w:p>
        </w:tc>
        <w:tc>
          <w:tcPr>
            <w:tcW w:type="dxa" w:w="2160"/>
          </w:tcPr>
          <w:p>
            <w:r>
              <w:t>$2,800B</w:t>
            </w:r>
          </w:p>
        </w:tc>
        <w:tc>
          <w:tcPr>
            <w:tcW w:type="dxa" w:w="2160"/>
          </w:tcPr>
          <w:p>
            <w:r>
              <w:t>45x</w:t>
            </w:r>
          </w:p>
        </w:tc>
        <w:tc>
          <w:tcPr>
            <w:tcW w:type="dxa" w:w="2160"/>
          </w:tcPr>
          <w:p>
            <w:r>
              <w:t>29.0x</w:t>
            </w:r>
          </w:p>
        </w:tc>
      </w:tr>
      <w:tr>
        <w:tc>
          <w:tcPr>
            <w:tcW w:type="dxa" w:w="2160"/>
          </w:tcPr>
          <w:p>
            <w:r>
              <w:t>Qualcomm</w:t>
            </w:r>
          </w:p>
        </w:tc>
        <w:tc>
          <w:tcPr>
            <w:tcW w:type="dxa" w:w="2160"/>
          </w:tcPr>
          <w:p>
            <w:r>
              <w:t>$170B</w:t>
            </w:r>
          </w:p>
        </w:tc>
        <w:tc>
          <w:tcPr>
            <w:tcW w:type="dxa" w:w="2160"/>
          </w:tcPr>
          <w:p>
            <w:r>
              <w:t>15x</w:t>
            </w:r>
          </w:p>
        </w:tc>
        <w:tc>
          <w:tcPr>
            <w:tcW w:type="dxa" w:w="2160"/>
          </w:tcPr>
          <w:p>
            <w:r>
              <w:t>3.9x</w:t>
            </w:r>
          </w:p>
        </w:tc>
      </w:tr>
      <w:tr>
        <w:tc>
          <w:tcPr>
            <w:tcW w:type="dxa" w:w="2160"/>
          </w:tcPr>
          <w:p>
            <w:r>
              <w:t>Broadcom</w:t>
            </w:r>
          </w:p>
        </w:tc>
        <w:tc>
          <w:tcPr>
            <w:tcW w:type="dxa" w:w="2160"/>
          </w:tcPr>
          <w:p>
            <w:r>
              <w:t>$650B</w:t>
            </w:r>
          </w:p>
        </w:tc>
        <w:tc>
          <w:tcPr>
            <w:tcW w:type="dxa" w:w="2160"/>
          </w:tcPr>
          <w:p>
            <w:r>
              <w:t>25x</w:t>
            </w:r>
          </w:p>
        </w:tc>
        <w:tc>
          <w:tcPr>
            <w:tcW w:type="dxa" w:w="2160"/>
          </w:tcPr>
          <w:p>
            <w:r>
              <w:t>12.5x</w:t>
            </w:r>
          </w:p>
        </w:tc>
      </w:tr>
      <w:tr>
        <w:tc>
          <w:tcPr>
            <w:tcW w:type="dxa" w:w="2160"/>
          </w:tcPr>
          <w:p>
            <w:r>
              <w:t>Median (ex-AMD)</w:t>
            </w:r>
          </w:p>
        </w:tc>
        <w:tc>
          <w:tcPr>
            <w:tcW w:type="dxa" w:w="2160"/>
          </w:tcPr>
          <w:p>
            <w:r>
              <w:t>$170B</w:t>
            </w:r>
          </w:p>
        </w:tc>
        <w:tc>
          <w:tcPr>
            <w:tcW w:type="dxa" w:w="2160"/>
          </w:tcPr>
          <w:p>
            <w:r>
              <w:t>25x</w:t>
            </w:r>
          </w:p>
        </w:tc>
        <w:tc>
          <w:tcPr>
            <w:tcW w:type="dxa" w:w="2160"/>
          </w:tcPr>
          <w:p>
            <w:r>
              <w:t>9.4x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t>AMD trades at extreme premium to peers. At 195x forward P/E vs. 25x median, the stock price is not supported by fundamentals.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sz w:val="28"/>
        </w:rPr>
        <w:t>5. INVESTMENT RISKS</w:t>
      </w:r>
    </w:p>
    <w:p>
      <w:pPr>
        <w:pStyle w:val="Heading2"/>
      </w:pPr>
      <w:r>
        <w:rPr>
          <w:rFonts w:ascii="Arial" w:hAnsi="Arial"/>
          <w:b/>
          <w:sz w:val="24"/>
        </w:rPr>
        <w:t>5.1 Upside Risks</w:t>
      </w:r>
    </w:p>
    <w:p>
      <w:pPr>
        <w:pStyle w:val="ListBullet"/>
      </w:pPr>
      <w:r>
        <w:t>AI Accelerator Dominance: Instinct captures 25%+ market share → $240+ target</w:t>
      </w:r>
    </w:p>
    <w:p>
      <w:pPr>
        <w:pStyle w:val="ListBullet"/>
      </w:pPr>
      <w:r>
        <w:t>Intel Stumbles Further: Server share gains accelerate → $220+ target</w:t>
      </w:r>
    </w:p>
    <w:p>
      <w:pPr>
        <w:pStyle w:val="Heading2"/>
      </w:pPr>
      <w:r>
        <w:rPr>
          <w:rFonts w:ascii="Arial" w:hAnsi="Arial"/>
          <w:b/>
          <w:sz w:val="24"/>
        </w:rPr>
        <w:t>5.2 Downside Risks</w:t>
      </w:r>
    </w:p>
    <w:p>
      <w:pPr>
        <w:pStyle w:val="ListBullet"/>
      </w:pPr>
      <w:r>
        <w:t>NVIDIA Extends AI Lead: CUDA moat proves insurmountable → $95 target</w:t>
      </w:r>
    </w:p>
    <w:p>
      <w:pPr>
        <w:pStyle w:val="ListBullet"/>
      </w:pPr>
      <w:r>
        <w:t>Intel Manufacturing Recovery: Process node issues resolved → $70 target</w:t>
      </w:r>
    </w:p>
    <w:p>
      <w:pPr>
        <w:pStyle w:val="ListBullet"/>
      </w:pPr>
      <w:r>
        <w:t>Demand Cyclicality: Semiconductor downcycle compresses margins → $50 target</w:t>
      </w:r>
    </w:p>
    <w:p>
      <w:pPr>
        <w:pStyle w:val="Heading2"/>
      </w:pPr>
      <w:r>
        <w:rPr>
          <w:rFonts w:ascii="Arial" w:hAnsi="Arial"/>
          <w:b/>
          <w:sz w:val="24"/>
        </w:rPr>
        <w:t>5.3 Key Risks to Monitor</w:t>
      </w:r>
    </w:p>
    <w:p>
      <w:pPr>
        <w:pStyle w:val="ListBullet"/>
      </w:pPr>
      <w:r>
        <w:t>NVIDIA CUDA Ecosystem: Software moat may be insurmountable</w:t>
      </w:r>
    </w:p>
    <w:p>
      <w:pPr>
        <w:pStyle w:val="ListBullet"/>
      </w:pPr>
      <w:r>
        <w:t>TSMC Manufacturing Concentration: 75%+ of silicon from single fab</w:t>
      </w:r>
    </w:p>
    <w:p>
      <w:pPr>
        <w:pStyle w:val="ListBullet"/>
      </w:pPr>
      <w:r>
        <w:t>Intel Competitive Response: Panther Lake, Clearwater Forest potential</w:t>
      </w:r>
    </w:p>
    <w:p>
      <w:pPr>
        <w:pStyle w:val="ListBullet"/>
      </w:pPr>
      <w:r>
        <w:t>Customer Concentration: Top 5 customers represent ~40% of revenue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sz w:val="28"/>
        </w:rPr>
        <w:t>6. CONCLUSION</w:t>
      </w:r>
    </w:p>
    <w:p>
      <w:r>
        <w:t>Recommendation: SELL</w:t>
      </w:r>
    </w:p>
    <w:p>
      <w:r>
        <w:t>Price Target: $164.00 (20% downside from $204.91)</w:t>
      </w:r>
    </w:p>
    <w:p/>
    <w:p>
      <w:r>
        <w:t>Rationale:</w:t>
      </w:r>
    </w:p>
    <w:p>
      <w:r>
        <w:t>1. Current price implies unrealistic AI market share assumptions</w:t>
      </w:r>
    </w:p>
    <w:p>
      <w:r>
        <w:t>2. Trading at 195x forward P/E is unsustainable</w:t>
      </w:r>
    </w:p>
    <w:p>
      <w:r>
        <w:t>3. NVIDIA's CUDA护城河短期内难以突破</w:t>
      </w:r>
    </w:p>
    <w:p>
      <w:r>
        <w:t>4. Intel潜在的复苏将对服务器份额造成压力</w:t>
      </w:r>
    </w:p>
    <w:p>
      <w:r>
        <w:t>5. 估值存在显著下行风险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sz w:val="28"/>
        </w:rPr>
        <w:t>APPENDIX: SUPPORTING CHARTS</w:t>
      </w:r>
    </w:p>
    <w:p>
      <w:r>
        <w:t>01: Stock Price ($204.91 Verified)</w:t>
      </w:r>
    </w:p>
    <w:p>
      <w:r>
        <w:t>02: Revenue and Margins</w:t>
      </w:r>
    </w:p>
    <w:p>
      <w:r>
        <w:t>03: Revenue by Product</w:t>
      </w:r>
    </w:p>
    <w:p>
      <w:r>
        <w:t>04: Revenue by Geography</w:t>
      </w:r>
    </w:p>
    <w:p>
      <w:r>
        <w:t>05: Corporate Timeline</w:t>
      </w:r>
    </w:p>
    <w:p>
      <w:r>
        <w:t>06: Data Center Revenue</w:t>
      </w:r>
    </w:p>
    <w:p>
      <w:r>
        <w:t>07: Server Market Share</w:t>
      </w:r>
    </w:p>
    <w:p>
      <w:r>
        <w:t>08: AI TAM</w:t>
      </w:r>
    </w:p>
    <w:p>
      <w:r>
        <w:t>09: Gross Margin</w:t>
      </w:r>
    </w:p>
    <w:p>
      <w:r>
        <w:t>10: Operating Expenses</w:t>
      </w:r>
    </w:p>
    <w:p>
      <w:r>
        <w:t>11: EPS</w:t>
      </w:r>
    </w:p>
    <w:p>
      <w:r>
        <w:t>12: Free Cash Flow</w:t>
      </w:r>
    </w:p>
    <w:p>
      <w:r>
        <w:t>13: CAGR Analysis</w:t>
      </w:r>
    </w:p>
    <w:p>
      <w:r>
        <w:t>14: Scenarios</w:t>
      </w:r>
    </w:p>
    <w:p>
      <w:r>
        <w:t>15: TAM by Segment</w:t>
      </w:r>
    </w:p>
    <w:p>
      <w:r>
        <w:t>16-35: Additional Charts (see amd_charts.zip)</w:t>
      </w:r>
    </w:p>
    <w:p/>
    <w:p>
      <w:r>
        <w:rPr>
          <w:i/>
          <w:sz w:val="18"/>
        </w:rPr>
        <w:t>All charts available in amd_charts.zip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sz w:val="28"/>
        </w:rPr>
        <w:t>DISCLAIMER</w:t>
      </w:r>
    </w:p>
    <w:p>
      <w:r>
        <w:br/>
        <w:t xml:space="preserve">This report is generated by AI Investment Research System for educational and research purposes only. </w:t>
        <w:br/>
        <w:br/>
        <w:t xml:space="preserve">The information contained in this report is believed to be reliable but is not guaranteed as to accuracy or completeness. Past performance is not indicative of future results. </w:t>
        <w:br/>
        <w:br/>
        <w:t xml:space="preserve">Investors should conduct their own due diligence and consult with qualified financial advisors before making investment decisions. </w:t>
        <w:br/>
        <w:br/>
        <w:t>The author(s) may hold positions in the securities mentioned in this report.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