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Small Causal Language Model Optimization for WikiText 2</w:t>
      </w:r>
    </w:p>
    <w:p>
      <w:r>
        <w:t>MP1 experimental report  |  Protocol 7506-mp1-wt2-v2  |  September 2026</w:t>
      </w:r>
    </w:p>
    <w:p>
      <w:pPr>
        <w:pStyle w:val="Heading1"/>
      </w:pPr>
      <w:r>
        <w:t>Abstract</w:t>
      </w:r>
    </w:p>
    <w:p>
      <w:r>
        <w:t>This report compares the supplied four-layer GPT baseline with a six-layer student model that combines a revised Transformer, causal copying within each evaluation window, and short-context statistics built solely from training text. At an equal budget of 9,830,400 training targets, baseline validation bits per byte (BPB) was 2.0711; the revised architecture with fixed memory reached 1.6654. Later training and count-dependent smoothing lowered validation BPB to 1.6137. This latest checkpoint has not been scored on the complete test set. The preceding frozen checkpoint scored 1.6188 on validation and 1.6338 on test. The personal goal of 1.5 BPB was not reached.</w:t>
      </w:r>
    </w:p>
    <w:p>
      <w:pPr>
        <w:pStyle w:val="Heading1"/>
      </w:pPr>
      <w:r>
        <w:t>1 Research question and scope</w:t>
      </w:r>
    </w:p>
    <w:p>
      <w:r>
        <w:t>The central question is how much predictive quality can improve under the assignment’s fixed tokenizer, evaluator, data splits, causal prediction contract, and resource ceilings. A lower BPB means that the model assigns greater probability to the next tokens when measured against the original UTF-8 text length. The report distinguishes improvements due to model structure, memory mechanisms, and additional optimization steps. It also records the extra storage and CPU work required by the memory component.</w:t>
      </w:r>
    </w:p>
    <w:p>
      <w:r>
        <w:t>The strongest number is an engineering result rather than evidence that one particular architectural ingredient caused the entire gain. The final model changes depth, width, positional representation, normalization, feed-forward activation, and prediction-time behavior. Controlled comparisons isolate the memory and smoothing mechanisms, while the architecture components were not separately ablated. The latest checkpoint also used twice the training targets of the equal-budget comparison.</w:t>
      </w:r>
    </w:p>
    <w:p>
      <w:pPr>
        <w:pStyle w:val="Heading1"/>
      </w:pPr>
      <w:r>
        <w:t>Reading the results</w:t>
      </w:r>
    </w:p>
    <w:p>
      <w:r>
        <w:t>All selection decisions reported here used validation BPB. Rows from different training stages should not be compared as though they shared the same training budget. The test values in this report belong only to the checkpoints actually evaluated. Earlier development included test evaluations of intermediate versions, a source of possible indirect selection bias that is discussed on page 9.</w:t>
      </w:r>
    </w:p>
    <w:p>
      <w:r>
        <w:br w:type="page"/>
      </w:r>
    </w:p>
    <w:p>
      <w:pPr>
        <w:pStyle w:val="Heading1"/>
      </w:pPr>
      <w:r>
        <w:t>2 Task protocol and starting implementation</w:t>
      </w:r>
    </w:p>
    <w:p>
      <w:pPr>
        <w:pStyle w:val="Heading2"/>
      </w:pPr>
      <w:r>
        <w:t>Data, metric, and evaluation boundary</w:t>
      </w:r>
    </w:p>
    <w:p>
      <w:r>
        <w:t>The assignment uses WikiText-2 raw and a BPE tokenizer with a vocabulary of 2,048, fitted on training data. Validation contains 376,599 prediction targets and 1,148,007 raw UTF-8 bytes; test contains 428,405 targets and 1,292,013 bytes. Evaluation uses independent windows with 256 targets. No model state may carry across those windows, and a prediction at a position may only depend on tokens already observed in that window.</w:t>
      </w:r>
    </w:p>
    <w:p>
      <w:r>
        <w:t>For target token t with assigned probability p_t, BPB equals the sum of −log₂(p_t) over all evaluated targets divided by the number of raw UTF-8 bytes in the split. Thus, token perplexity and BPB cannot be interchanged without accounting for the fixed tokenizer and byte denominator. The evaluator’s CPU FP32 path is the relevant reproducibility and timing setting.</w:t>
      </w:r>
    </w:p>
    <w:p>
      <w:pPr>
        <w:pStyle w:val="Heading2"/>
      </w:pPr>
      <w:r>
        <w:t>Original code and training budget</w:t>
      </w:r>
    </w:p>
    <w:p>
      <w:r>
        <w:t>The supplied model.py implements a causal GPT with four Transformer blocks, width 128, four attention heads, learned absolute positional embeddings, LayerNorm, and GELU feed-forward layers. Its reported parameter count is 1,088,256. The baseline predicts with a softmax over neural logits, without the later copying and training-count components. The original train.py starts from random weights and uses AdamW with a cosine learning-rate schedule.</w:t>
      </w:r>
    </w:p>
    <w:p>
      <w:r>
        <w:t>The default training run takes 1,200 steps, each with 32 sequences of 256 targets. This equals 9,830,400 processed targets. A baseline checkpoint at that budget achieved 2.0711 validation BPB in the recorded experiment. The course README’s approximate reference test BPB is 2.10 and its reference CPU test scoring time is 5.92 seconds. These are reference values, not measurements of the same baseline checkpoint on the same machine as every subsequent run.</w:t>
      </w:r>
    </w:p>
    <w:p>
      <w:pPr>
        <w:pStyle w:val="Heading2"/>
      </w:pPr>
      <w:r>
        <w:t>Files and invariants</w:t>
      </w:r>
    </w:p>
    <w:p>
      <w:r>
        <w:t>The experimental changes reside primarily in student.py and train.py. The fixed common.py interface constructs a model through build_model(config), while evaluate.py applies the scoring protocol. The original model.py remains the baseline. The tokenizer, split data, and evaluation logic were not modified to obtain a lower score. Training-derived statistics are separate assets, and the student implementation can rebuild them from the original training data when the compressed asset is unavailable.</w:t>
      </w:r>
    </w:p>
    <w:p>
      <w:r>
        <w:br w:type="page"/>
      </w:r>
    </w:p>
    <w:p>
      <w:pPr>
        <w:pStyle w:val="Heading1"/>
      </w:pPr>
      <w:r>
        <w:t>3 Neural architecture and code-level comparison</w:t>
      </w:r>
    </w:p>
    <w:tbl>
      <w:tblPr>
        <w:tblW w:type="auto" w:w="0"/>
        <w:jc w:val="center"/>
        <w:tblLayout w:type="fixed"/>
        <w:tblLook w:firstColumn="1" w:firstRow="1" w:lastColumn="0" w:lastRow="0" w:noHBand="0" w:noVBand="1" w:val="04A0"/>
      </w:tblPr>
      <w:tblGrid>
        <w:gridCol w:w="2016"/>
        <w:gridCol w:w="3744"/>
        <w:gridCol w:w="4032"/>
      </w:tblGrid>
      <w:tr>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Component</w:t>
            </w:r>
          </w:p>
        </w:tc>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Starting model</w:t>
            </w:r>
          </w:p>
        </w:tc>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Student model</w:t>
            </w:r>
          </w:p>
        </w:tc>
      </w:tr>
      <w:t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Backbone</w:t>
            </w:r>
          </w:p>
        </w:tc>
        <w:tc>
          <w:tcPr>
            <w:tcW w:type="dxa" w:w="37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4 blocks, width 128, 4 heads</w:t>
            </w:r>
          </w:p>
        </w:tc>
        <w:tc>
          <w:tcPr>
            <w:tcW w:type="dxa" w:w="40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6 blocks, width 160, 5 heads</w:t>
            </w:r>
          </w:p>
        </w:tc>
      </w:tr>
      <w:tr>
        <w:tc>
          <w:tcPr>
            <w:tcW w:type="dxa" w:w="201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Positions</w:t>
            </w:r>
          </w:p>
        </w:tc>
        <w:tc>
          <w:tcPr>
            <w:tcW w:type="dxa" w:w="37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Learned absolute embeddings</w:t>
            </w:r>
          </w:p>
        </w:tc>
        <w:tc>
          <w:tcPr>
            <w:tcW w:type="dxa" w:w="403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Rotary positional embeddings</w:t>
            </w:r>
          </w:p>
        </w:tc>
      </w:tr>
      <w:t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Normalization</w:t>
            </w:r>
          </w:p>
        </w:tc>
        <w:tc>
          <w:tcPr>
            <w:tcW w:type="dxa" w:w="37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LayerNorm</w:t>
            </w:r>
          </w:p>
        </w:tc>
        <w:tc>
          <w:tcPr>
            <w:tcW w:type="dxa" w:w="40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RMSNorm</w:t>
            </w:r>
          </w:p>
        </w:tc>
      </w:tr>
      <w:tr>
        <w:tc>
          <w:tcPr>
            <w:tcW w:type="dxa" w:w="201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Feed-forward</w:t>
            </w:r>
          </w:p>
        </w:tc>
        <w:tc>
          <w:tcPr>
            <w:tcW w:type="dxa" w:w="37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GELU MLP</w:t>
            </w:r>
          </w:p>
        </w:tc>
        <w:tc>
          <w:tcPr>
            <w:tcW w:type="dxa" w:w="403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SwiGLU</w:t>
            </w:r>
          </w:p>
        </w:tc>
      </w:tr>
      <w:tr>
        <w:tc>
          <w:tcPr>
            <w:tcW w:type="dxa" w:w="20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Parameters</w:t>
            </w:r>
          </w:p>
        </w:tc>
        <w:tc>
          <w:tcPr>
            <w:tcW w:type="dxa" w:w="37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1,088,256</w:t>
            </w:r>
          </w:p>
        </w:tc>
        <w:tc>
          <w:tcPr>
            <w:tcW w:type="dxa" w:w="40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Approximately 2,188,320</w:t>
            </w:r>
          </w:p>
        </w:tc>
      </w:tr>
      <w:tr>
        <w:tc>
          <w:tcPr>
            <w:tcW w:type="dxa" w:w="201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Prediction</w:t>
            </w:r>
          </w:p>
        </w:tc>
        <w:tc>
          <w:tcPr>
            <w:tcW w:type="dxa" w:w="37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Neural softmax</w:t>
            </w:r>
          </w:p>
        </w:tc>
        <w:tc>
          <w:tcPr>
            <w:tcW w:type="dxa" w:w="403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Neural, causal copy, and training counts</w:t>
            </w:r>
          </w:p>
        </w:tc>
      </w:tr>
    </w:tbl>
    <w:p>
      <w:r>
        <w:t>The student backbone has approximately twice the parameter count of the starting GPT. Rotary position information enters attention directly; RMSNorm and SwiGLU replace the corresponding baseline block operations. These changes increase representation capacity while keeping the required causal masking. The network forward(ids) method still returns raw logits, so ordinary cross-entropy training does not silently incorporate the memory mechanisms into its loss.</w:t>
      </w:r>
    </w:p>
    <w:p>
      <w:r>
        <w:t>The separate predict_log_probs(ids) path converts network outputs into a normalized predictive distribution and adds the memory terms. This distinction matters for reproducing training: a checkpoint contains learned neural weights, whereas short-context counts derive from the training corpus. Copy probabilities use only the current evaluation window, so they do not require a persistent cache between examples. The combined distribution must remain causal and normalized at every predicted position.</w:t>
      </w:r>
    </w:p>
    <w:p>
      <w:pPr>
        <w:pStyle w:val="Heading2"/>
      </w:pPr>
      <w:r>
        <w:t>What this comparison can and cannot establish</w:t>
      </w:r>
    </w:p>
    <w:p>
      <w:r>
        <w:t>At equal processed-target count, the revised architecture with fixed memory scores substantially better than the original neural baseline. Yet the two rows differ in parameter count and prediction-time computation as well as attention and block design. The comparison therefore demonstrates an effective complete system under the assignment rules, not an isolated benefit of rotary positions or any other one change. A rigorous component study would hold parameter budget and memory behavior fixed while changing only one block choice at a time. That study was outside the recorded experiments.</w:t>
      </w:r>
    </w:p>
    <w:p>
      <w:r>
        <w:t>The wider model also has an operational cost: its CPU evaluator must compute more neural operations, and the memory path adds sparse lookups and mixing. The later cost section evaluates this whole system against the asset and memory ceilings and distinguishes an observed run from the course’s same-machine timing requirement.</w:t>
      </w:r>
    </w:p>
    <w:p>
      <w:r>
        <w:br w:type="page"/>
      </w:r>
    </w:p>
    <w:p>
      <w:pPr>
        <w:pStyle w:val="Heading1"/>
      </w:pPr>
      <w:r>
        <w:t>4 Causal memory and adaptive smoothing</w:t>
      </w:r>
    </w:p>
    <w:p>
      <w:pPr>
        <w:pStyle w:val="Heading2"/>
      </w:pPr>
      <w:r>
        <w:t>Window copying</w:t>
      </w:r>
    </w:p>
    <w:p>
      <w:r>
        <w:t>For a prediction in a 256-target window, the copy mechanism looks for matching observed contexts within that same window and assigns probability to tokens that followed prior matches. The mechanism can help when names, terms, or local phrases recur. It does not consult future positions or carry history into a different window. A fixed copy mixture weight of about 0.25 was used in the recorded fixed-memory stage; further validation tuning of that one weight offered little improvement.</w:t>
      </w:r>
    </w:p>
    <w:p>
      <w:pPr>
        <w:pStyle w:val="Heading2"/>
      </w:pPr>
      <w:r>
        <w:t>Training-corpus short-context counts</w:t>
      </w:r>
    </w:p>
    <w:p>
      <w:r>
        <w:t>A second memory uses counts of the next token after two-token and three-token contexts in the training text. The tables are built from training token IDs, not from validation or test. When a context is absent or weakly supported, the implementation backs off toward lower-order or neural predictions. The compressed student_stats.npz file accelerates startup; it is not a learned GPT checkpoint. When missing, the code reconstructs equivalent counts from wikitext_train.txt and tokenizer.json, at the expense of startup time.</w:t>
      </w:r>
    </w:p>
    <w:p>
      <w:r>
        <w:t>A count table can be effective on recurring short phrases but is imperfect evidence for an unseen passage. A frequent context can have several plausible continuations, while a rare exact match can be misleading. The memory also costs storage, load time, lookup work, and probability mixing. Those costs are especially relevant because the GUIDE discourages reliance on a large retrieval index even when the formal asset ceiling is met.</w:t>
      </w:r>
    </w:p>
    <w:p>
      <w:pPr>
        <w:pStyle w:val="Heading2"/>
      </w:pPr>
      <w:r>
        <w:t>Count-dependent smoothing</w:t>
      </w:r>
    </w:p>
    <w:p>
      <w:r>
        <w:t>The fixed-memory version applied one smoothing strength across contexts with very different training frequencies. Validation analysis suggested that the strength should depend on the observed context count n. The recorded final rule uses 5 + 6n for the two-token context and 2 + 4n for the three-token context. These coefficients were chosen on validation; the feature n itself comes only from training text. Applying the three-token adjustment first improved validation BPB from 1.6509 to 1.6331. Applying both levels reached 1.6188 with the same neural weights.</w:t>
      </w:r>
    </w:p>
    <w:p>
      <w:r>
        <w:t>This rule introduces no new neural parameters and no additional count table. Its apparent gain is larger than the subsequent 600-step training gain, but it should be interpreted as a validation-selected heuristic. Searching many alternatives on one validation set can overfit that set, even without training on its text. Independent repeated runs or a held-out development split would strengthen the evidence.</w:t>
      </w:r>
    </w:p>
    <w:p>
      <w:r>
        <w:br w:type="page"/>
      </w:r>
    </w:p>
    <w:p>
      <w:pPr>
        <w:pStyle w:val="Heading1"/>
      </w:pPr>
      <w:r>
        <w:t>5 Training procedure and checkpoint selection</w:t>
      </w:r>
    </w:p>
    <w:p>
      <w:pPr>
        <w:pStyle w:val="Heading2"/>
      </w:pPr>
      <w:r>
        <w:t>Equal-target experiment</w:t>
      </w:r>
    </w:p>
    <w:p>
      <w:r>
        <w:t>The initial revised backbone was trained from random initialization for 1,200 steps with seed 17. With batch size 32 and target length 256, it processed 9,830,400 targets, matching the baseline target count. This is a useful training-exposure comparison, although it does not equalize parameter count, forward-pass FLOPs, or prediction-time memory. The fixed-memory revised model obtained 1.6654 validation BPB and 1.6778 complete test BPB.</w:t>
      </w:r>
    </w:p>
    <w:p>
      <w:pPr>
        <w:pStyle w:val="Heading2"/>
      </w:pPr>
      <w:r>
        <w:t>First continuation and adaptive rule</w:t>
      </w:r>
    </w:p>
    <w:p>
      <w:r>
        <w:t>A first 600-step continuation of the revised model used a lower learning rate and investigated weight averaging. At 300 steps, ordinary weights scored 1.6582 validation BPB and averaged weights 1.6559. At 600 steps, ordinary weights scored 1.6512 and averaged weights 1.6515. A small validation-selected smoothing change yielded 1.6509. This stage brought cumulative processed targets to 14,745,600; its full test score was 1.6636. Count-dependent smoothing subsequently lowered validation BPB to 1.6188 with those same weights, and the frozen adaptive checkpoint scored 1.6338 on the full test set.</w:t>
      </w:r>
    </w:p>
    <w:p>
      <w:pPr>
        <w:pStyle w:val="Heading2"/>
      </w:pPr>
      <w:r>
        <w:t>Second continuation enabled by train.py</w:t>
      </w:r>
    </w:p>
    <w:p>
      <w:r>
        <w:t>The revised train.py accepts a matching checkpoint for continuation, exposes learning-rate and weight-decay settings, evaluates at scheduled intervals, and retains the best validation checkpoint. It also records checkpoint ancestry and cumulative target count. Its original from-scratch defaults remain available. The second 600-step continuation began from the adaptive checkpoint with seed 29, initial learning rate 0.0001, minimum learning-rate ratio 0.1, no warmup, and weight decay 0.05. The optimizer state was reconstructed rather than resumed exactly.</w:t>
      </w:r>
    </w:p>
    <w:p>
      <w:r>
        <w:t>Validation BPB after 300 steps was 1.6164; after 600 steps it was 1.6137, so the latter was selected. Cumulative exposure reached 19,660,800 targets. The improvement over 1.6188 is 0.0051 BPB, small compared with the architecture and adaptive smoothing changes. No complete test measurement was made for this final checkpoint. It would be incorrect to attach the earlier checkpoint’s test score of 1.6338 to it.</w:t>
      </w:r>
    </w:p>
    <w:p>
      <w:r>
        <w:br w:type="page"/>
      </w:r>
    </w:p>
    <w:p>
      <w:pPr>
        <w:pStyle w:val="Heading1"/>
      </w:pPr>
      <w:r>
        <w:t>6 Main results and fair comparison</w:t>
      </w:r>
    </w:p>
    <w:tbl>
      <w:tblPr>
        <w:tblW w:type="auto" w:w="0"/>
        <w:jc w:val="center"/>
        <w:tblLayout w:type="fixed"/>
        <w:tblLook w:firstColumn="1" w:firstRow="1" w:lastColumn="0" w:lastRow="0" w:noHBand="0" w:noVBand="1" w:val="04A0"/>
      </w:tblPr>
      <w:tblGrid>
        <w:gridCol w:w="3888"/>
        <w:gridCol w:w="1944"/>
        <w:gridCol w:w="1944"/>
        <w:gridCol w:w="1944"/>
      </w:tblGrid>
      <w:tr>
        <w:tc>
          <w:tcPr>
            <w:tcW w:type="dxa" w:w="2455"/>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Stage</w:t>
            </w:r>
          </w:p>
        </w:tc>
        <w:tc>
          <w:tcPr>
            <w:tcW w:type="dxa" w:w="2455"/>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Targets seen</w:t>
            </w:r>
          </w:p>
        </w:tc>
        <w:tc>
          <w:tcPr>
            <w:tcW w:type="dxa" w:w="2455"/>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Validation BPB</w:t>
            </w:r>
          </w:p>
        </w:tc>
        <w:tc>
          <w:tcPr>
            <w:tcW w:type="dxa" w:w="2455"/>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Test BPB</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Original GPT</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9,830,400</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2.0711</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Not recorded</w:t>
            </w:r>
          </w:p>
        </w:tc>
      </w:tr>
      <w:tr>
        <w:tc>
          <w:tcPr>
            <w:tcW w:type="dxa" w:w="3888"/>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Original weights plus memory</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9,830,400</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1.7783</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1.7916</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New backbone plus fixed memory</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9,830,400</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1.6654</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1.6778</w:t>
            </w:r>
          </w:p>
        </w:tc>
      </w:tr>
      <w:tr>
        <w:tc>
          <w:tcPr>
            <w:tcW w:type="dxa" w:w="3888"/>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First continuation, fixed memory</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14,745,600</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1.6509</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1.6636</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Same weights, adaptive smoothing</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14,745,600</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1.6188</w:t>
            </w:r>
          </w:p>
        </w:tc>
        <w:tc>
          <w:tcPr>
            <w:tcW w:type="dxa" w:w="19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1.6338</w:t>
            </w:r>
          </w:p>
        </w:tc>
      </w:tr>
      <w:tr>
        <w:tc>
          <w:tcPr>
            <w:tcW w:type="dxa" w:w="3888"/>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Second continuation, selected</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19,660,800</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1.6137</w:t>
            </w:r>
          </w:p>
        </w:tc>
        <w:tc>
          <w:tcPr>
            <w:tcW w:type="dxa" w:w="194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Not evaluated</w:t>
            </w:r>
          </w:p>
        </w:tc>
      </w:tr>
    </w:tbl>
    <w:p>
      <w:r>
        <w:t>At matched processed-target count, the complete new system improved validation BPB by 0.4057 relative to the original neural GPT. Adding copy and corpus statistics to the original weights improved validation BPB by 0.2928; replacing the original backbone with the revised backbone while keeping a memory-assisted prediction path improved it by a further 0.1129 in this recorded comparison. Those differences describe system configurations. They do not imply a clean causal decomposition because the memory implementation and network behavior interact.</w:t>
      </w:r>
    </w:p>
    <w:p>
      <w:r>
        <w:t>The first continuation reduced validation BPB by 0.0145 relative to the 1.6654 stage after another 4,915,200 targets. Adaptive smoothing then reduced it by 0.0321 without additional training targets. The second continuation lowered it by another 0.0051 after an additional 4,915,200 targets. Total validation improvement from the initial 2.0711 reference to 1.6137 is 0.4574 BPB. The final checkpoint remains 0.1137 BPB above the personal 1.5 target.</w:t>
      </w:r>
    </w:p>
    <w:p>
      <w:pPr>
        <w:pStyle w:val="Heading2"/>
      </w:pPr>
      <w:r>
        <w:t>Interpretation of the test column</w:t>
      </w:r>
    </w:p>
    <w:p>
      <w:r>
        <w:t>Test results were obtained for several intermediate frozen configurations, not for the latest 1.6137 checkpoint. Repeated exposure to intermediate test scores during development can influence later decisions even if the final training run directly selects only on validation. Accordingly, the test column is descriptive historical evidence rather than an untouched final benchmark for the latest system. A final submission should freeze code, configuration, and checkpoint before running its complete test evaluation and report that result separately.</w:t>
      </w:r>
    </w:p>
    <w:p>
      <w:r>
        <w:t>The baseline test value 2.10 from the README is approximate and should not be substituted for an unrecorded complete test score of the 2.0711 baseline checkpoint. The table uses “Not recorded” where a matched score is unavailable.</w:t>
      </w:r>
    </w:p>
    <w:p>
      <w:r>
        <w:br w:type="page"/>
      </w:r>
    </w:p>
    <w:p>
      <w:pPr>
        <w:pStyle w:val="Heading1"/>
      </w:pPr>
      <w:r>
        <w:t>7 Ablations and mechanism evidence</w:t>
      </w:r>
    </w:p>
    <w:tbl>
      <w:tblPr>
        <w:tblW w:type="auto" w:w="0"/>
        <w:jc w:val="center"/>
        <w:tblLayout w:type="fixed"/>
        <w:tblLook w:firstColumn="1" w:firstRow="1" w:lastColumn="0" w:lastRow="0" w:noHBand="0" w:noVBand="1" w:val="04A0"/>
      </w:tblPr>
      <w:tblGrid>
        <w:gridCol w:w="5472"/>
        <w:gridCol w:w="1584"/>
        <w:gridCol w:w="2736"/>
      </w:tblGrid>
      <w:tr>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Validation configuration</w:t>
            </w:r>
          </w:p>
        </w:tc>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BPB</w:t>
            </w:r>
          </w:p>
        </w:tc>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Difference</w:t>
            </w:r>
          </w:p>
        </w:tc>
      </w:tr>
      <w:tr>
        <w:tc>
          <w:tcPr>
            <w:tcW w:type="dxa" w:w="54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Original weights, no memory</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2.0711</w:t>
            </w:r>
          </w:p>
        </w:tc>
        <w:tc>
          <w:tcPr>
            <w:tcW w:type="dxa" w:w="27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Reference</w:t>
            </w:r>
          </w:p>
        </w:tc>
      </w:tr>
      <w:tr>
        <w:tc>
          <w:tcPr>
            <w:tcW w:type="dxa" w:w="547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Same weights, window copy only</w:t>
            </w:r>
          </w:p>
        </w:tc>
        <w:tc>
          <w:tcPr>
            <w:tcW w:type="dxa" w:w="158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1.9863</w:t>
            </w:r>
          </w:p>
        </w:tc>
        <w:tc>
          <w:tcPr>
            <w:tcW w:type="dxa" w:w="273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−0.0848</w:t>
            </w:r>
          </w:p>
        </w:tc>
      </w:tr>
      <w:tr>
        <w:tc>
          <w:tcPr>
            <w:tcW w:type="dxa" w:w="54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Same weights, copy plus training counts</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1.7783</w:t>
            </w:r>
          </w:p>
        </w:tc>
        <w:tc>
          <w:tcPr>
            <w:tcW w:type="dxa" w:w="27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−0.2080 further</w:t>
            </w:r>
          </w:p>
        </w:tc>
      </w:tr>
      <w:tr>
        <w:tc>
          <w:tcPr>
            <w:tcW w:type="dxa" w:w="547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Continued new weights, fixed smoothing</w:t>
            </w:r>
          </w:p>
        </w:tc>
        <w:tc>
          <w:tcPr>
            <w:tcW w:type="dxa" w:w="158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1.6509</w:t>
            </w:r>
          </w:p>
        </w:tc>
        <w:tc>
          <w:tcPr>
            <w:tcW w:type="dxa" w:w="273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Reference</w:t>
            </w:r>
          </w:p>
        </w:tc>
      </w:tr>
      <w:tr>
        <w:tc>
          <w:tcPr>
            <w:tcW w:type="dxa" w:w="54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Same weights, three-token adjustment</w:t>
            </w:r>
          </w:p>
        </w:tc>
        <w:tc>
          <w:tcPr>
            <w:tcW w:type="dxa" w:w="15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1.6331</w:t>
            </w:r>
          </w:p>
        </w:tc>
        <w:tc>
          <w:tcPr>
            <w:tcW w:type="dxa" w:w="27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−0.0178</w:t>
            </w:r>
          </w:p>
        </w:tc>
      </w:tr>
      <w:tr>
        <w:tc>
          <w:tcPr>
            <w:tcW w:type="dxa" w:w="547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Same weights, both adjustments</w:t>
            </w:r>
          </w:p>
        </w:tc>
        <w:tc>
          <w:tcPr>
            <w:tcW w:type="dxa" w:w="158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1.6188</w:t>
            </w:r>
          </w:p>
        </w:tc>
        <w:tc>
          <w:tcPr>
            <w:tcW w:type="dxa" w:w="273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−0.0143 further</w:t>
            </w:r>
          </w:p>
        </w:tc>
      </w:tr>
    </w:tbl>
    <w:p>
      <w:r>
        <w:t>The upper block holds the original neural weights fixed and changes prediction-time memory. Copying produces a modest improvement on its own. Training-corpus counts provide a much larger additional decrease for that particular checkpoint. The lower block holds the continued six-layer neural weights and count asset fixed, then modifies smoothing. The second adjustment contributes about 0.0143 BPB beyond the first, for 0.0321 BPB total relative to fixed smoothing.</w:t>
      </w:r>
    </w:p>
    <w:p>
      <w:r>
        <w:t>The two blocks should not be read as a single sequential ablation ladder. They use different neural checkpoints, so differences across the block boundary mix changes in model weights, architecture, training, and memory. The precision of the reported BPB differences also exceeds what a single run can establish about statistical stability; no multi-seed confidence interval was recorded.</w:t>
      </w:r>
    </w:p>
    <w:p>
      <w:pPr>
        <w:pStyle w:val="Heading2"/>
      </w:pPr>
      <w:r>
        <w:t>Missing controls</w:t>
      </w:r>
    </w:p>
    <w:p>
      <w:r>
        <w:t>There is no one-change-at-a-time ablation of rotary embeddings, RMSNorm, SwiGLU, depth, width, and head count. Nor is there a matched-FLOP or matched-parameter backbone experiment. Those missing controls limit the architectural attribution, even though the equal-target comparison supports the effectiveness of the complete revised system. A stronger study would train several seeds for a plain six-layer backbone and then introduce each memory mechanism on the same saved weights.</w:t>
      </w:r>
    </w:p>
    <w:p>
      <w:r>
        <w:t>The adaptive rule also merits a cleaner validation design. Its constants were selected after inspecting many validation combinations. A train-only held-out slice for tuning, followed by one complete validation decision, would reduce the risk that small gains reflect search over the validation set. This would be particularly useful for the second continuation’s 0.0051 BPB gain.</w:t>
      </w:r>
    </w:p>
    <w:p>
      <w:r>
        <w:br w:type="page"/>
      </w:r>
    </w:p>
    <w:p>
      <w:pPr>
        <w:pStyle w:val="Heading1"/>
      </w:pPr>
      <w:r>
        <w:t>8 Resource cost and reproducibility</w:t>
      </w:r>
    </w:p>
    <w:tbl>
      <w:tblPr>
        <w:tblW w:type="auto" w:w="0"/>
        <w:jc w:val="center"/>
        <w:tblLayout w:type="fixed"/>
        <w:tblLook w:firstColumn="1" w:firstRow="1" w:lastColumn="0" w:lastRow="0" w:noHBand="0" w:noVBand="1" w:val="04A0"/>
      </w:tblPr>
      <w:tblGrid>
        <w:gridCol w:w="2592"/>
        <w:gridCol w:w="3096"/>
        <w:gridCol w:w="4104"/>
      </w:tblGrid>
      <w:tr>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Recorded quantity</w:t>
            </w:r>
          </w:p>
        </w:tc>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Measured or stated value</w:t>
            </w:r>
          </w:p>
        </w:tc>
        <w:tc>
          <w:tcPr>
            <w:tcW w:type="dxa" w:w="3273"/>
            <w:vAlign w:val="center"/>
            <w:tcMar>
              <w:top w:w="85" w:type="dxa"/>
              <w:left w:w="85" w:type="dxa"/>
              <w:bottom w:w="85" w:type="dxa"/>
              <w:right w:w="85" w:type="dxa"/>
            </w:tcMar>
            <w:shd w:fill="24364B"/>
            <w:tcBorders>
              <w:top w:val="single" w:sz="4" w:color="D9D9D9"/>
              <w:left w:val="single" w:sz="4" w:color="D9D9D9"/>
              <w:bottom w:val="single" w:sz="4" w:color="D9D9D9"/>
              <w:right w:val="single" w:sz="4" w:color="D9D9D9"/>
            </w:tcBorders>
          </w:tcPr>
          <w:p>
            <w:pPr>
              <w:spacing w:after="0" w:line="252" w:lineRule="auto"/>
            </w:pPr>
            <w:r>
              <w:rPr>
                <w:b/>
                <w:color w:val="FFFFFF"/>
                <w:sz w:val="18"/>
              </w:rPr>
              <w:t>Interpretation</w:t>
            </w:r>
          </w:p>
        </w:tc>
      </w:tr>
      <w:tr>
        <w:tc>
          <w:tcPr>
            <w:tcW w:type="dxa" w:w="25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Adaptive checkpoint</w:t>
            </w:r>
          </w:p>
        </w:tc>
        <w:tc>
          <w:tcPr>
            <w:tcW w:type="dxa" w:w="30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10,077,045 bytes</w:t>
            </w:r>
          </w:p>
        </w:tc>
        <w:tc>
          <w:tcPr>
            <w:tcW w:type="dxa" w:w="41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Neural weights and metadata</w:t>
            </w:r>
          </w:p>
        </w:tc>
      </w:tr>
      <w:tr>
        <w:tc>
          <w:tcPr>
            <w:tcW w:type="dxa" w:w="259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Uncompressed statistics</w:t>
            </w:r>
          </w:p>
        </w:tc>
        <w:tc>
          <w:tcPr>
            <w:tcW w:type="dxa" w:w="309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38,020,210 bytes</w:t>
            </w:r>
          </w:p>
        </w:tc>
        <w:tc>
          <w:tcPr>
            <w:tcW w:type="dxa" w:w="410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Training-derived count asset</w:t>
            </w:r>
          </w:p>
        </w:tc>
      </w:tr>
      <w:tr>
        <w:tc>
          <w:tcPr>
            <w:tcW w:type="dxa" w:w="25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Combined asset</w:t>
            </w:r>
          </w:p>
        </w:tc>
        <w:tc>
          <w:tcPr>
            <w:tcW w:type="dxa" w:w="30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About 45.87 MiB</w:t>
            </w:r>
          </w:p>
        </w:tc>
        <w:tc>
          <w:tcPr>
            <w:tcW w:type="dxa" w:w="41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Below 64 MiB ceiling</w:t>
            </w:r>
          </w:p>
        </w:tc>
      </w:tr>
      <w:tr>
        <w:tc>
          <w:tcPr>
            <w:tcW w:type="dxa" w:w="259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Peak resident memory</w:t>
            </w:r>
          </w:p>
        </w:tc>
        <w:tc>
          <w:tcPr>
            <w:tcW w:type="dxa" w:w="309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2,302,644 KiB</w:t>
            </w:r>
          </w:p>
        </w:tc>
        <w:tc>
          <w:tcPr>
            <w:tcW w:type="dxa" w:w="410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About 2.20 GiB; below 4 GiB</w:t>
            </w:r>
          </w:p>
        </w:tc>
      </w:tr>
      <w:tr>
        <w:tc>
          <w:tcPr>
            <w:tcW w:type="dxa" w:w="25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Complete test CPU score</w:t>
            </w:r>
          </w:p>
        </w:tc>
        <w:tc>
          <w:tcPr>
            <w:tcW w:type="dxa" w:w="30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About 24.98 s</w:t>
            </w:r>
          </w:p>
        </w:tc>
        <w:tc>
          <w:tcPr>
            <w:tcW w:type="dxa" w:w="41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2" w:lineRule="auto"/>
            </w:pPr>
            <w:r>
              <w:rPr>
                <w:b w:val="0"/>
                <w:color w:val="000000"/>
                <w:sz w:val="18"/>
              </w:rPr>
              <w:t>Adaptive checkpoint only</w:t>
            </w:r>
          </w:p>
        </w:tc>
      </w:tr>
      <w:tr>
        <w:tc>
          <w:tcPr>
            <w:tcW w:type="dxa" w:w="2592"/>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README CPU reference</w:t>
            </w:r>
          </w:p>
        </w:tc>
        <w:tc>
          <w:tcPr>
            <w:tcW w:type="dxa" w:w="3096"/>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5.92 s</w:t>
            </w:r>
          </w:p>
        </w:tc>
        <w:tc>
          <w:tcPr>
            <w:tcW w:type="dxa" w:w="4104"/>
            <w:vAlign w:val="center"/>
            <w:tcMar>
              <w:top w:w="85" w:type="dxa"/>
              <w:left w:w="85" w:type="dxa"/>
              <w:bottom w:w="85" w:type="dxa"/>
              <w:right w:w="85" w:type="dxa"/>
            </w:tcMar>
            <w:shd w:fill="F2F5F8"/>
            <w:tcBorders>
              <w:top w:val="single" w:sz="4" w:color="D9D9D9"/>
              <w:left w:val="single" w:sz="4" w:color="D9D9D9"/>
              <w:bottom w:val="single" w:sz="4" w:color="D9D9D9"/>
              <w:right w:val="single" w:sz="4" w:color="D9D9D9"/>
            </w:tcBorders>
          </w:tcPr>
          <w:p>
            <w:pPr>
              <w:spacing w:after="0" w:line="252" w:lineRule="auto"/>
            </w:pPr>
            <w:r>
              <w:rPr>
                <w:b w:val="0"/>
                <w:color w:val="000000"/>
                <w:sz w:val="18"/>
              </w:rPr>
              <w:t>Fivefold reference is 29.6 s</w:t>
            </w:r>
          </w:p>
        </w:tc>
      </w:tr>
    </w:tbl>
    <w:p>
      <w:r>
        <w:t>The measured asset, memory, and CPU numbers apply to the adaptive checkpoint that scored 1.6188 validation and 1.6338 test. The latest continuation has not received a complete corresponding cost audit. In separate runs of related versions, CPU scoring varied between roughly 28 and 32 seconds. Therefore, comparison with 5 × 5.92 seconds is only a rough indication. The course timing requirement calls for paired baseline and candidate measurements on the same target machine under the same FP32 CPU setup.</w:t>
      </w:r>
    </w:p>
    <w:p>
      <w:r>
        <w:t>The first 1,200-step revised-backbone training was reported at about 1,183.09 seconds. The latest 600-step continuation took 565.92 seconds for training alone and 622.61 seconds for its full process including validation activity. These figures are useful for project planning but are not a controlled training-throughput comparison with the original GPT. Development also included a 20-step trial, hundreds of validation combinations for memory mixing and smoothing, and the earlier continuation. A reproducibility record should include that search cost instead of reporting only the winning run.</w:t>
      </w:r>
    </w:p>
    <w:p>
      <w:pPr>
        <w:pStyle w:val="Heading2"/>
      </w:pPr>
      <w:r>
        <w:t>Minimal reproduction record</w:t>
      </w:r>
    </w:p>
    <w:p>
      <w:r>
        <w:t>Use the matching student.py, configuration, train_recipe_checkpoint.pt, and fixed evaluator. With Python 3.12 and PyTorch 2.7.1 in code/, run: python evaluate.py --checkpoint train_recipe_checkpoint.pt --device cpu --precision fp32 --split validation. The test split should be run only after final freezing. The optional student_stats.npz avoids rebuilding training statistics; otherwise the original training text and tokenizer.json must be present. Preserve file hashes, package versions, device details, random seeds, and validation checkpoint-selection logs in the submitted repository.</w:t>
      </w:r>
    </w:p>
    <w:p>
      <w:r>
        <w:br w:type="page"/>
      </w:r>
    </w:p>
    <w:p>
      <w:pPr>
        <w:pStyle w:val="Heading1"/>
      </w:pPr>
      <w:r>
        <w:t>9 Critical analysis and conclusion</w:t>
      </w:r>
    </w:p>
    <w:p>
      <w:r>
        <w:t>The largest measured gain comes from combining a stronger backbone with training-derived memory, but the design has a tradeoff. Approximately 38 MB of count data supports the prediction path, and each score requires sparse lookup and distribution mixing. This remains below the formal asset limit, yet the GUIDE discourages large index dependence. The memory should be described honestly as a substantial part of the model system, not hidden as a minor implementation detail. Its fallback reconstruction depends on the training corpus at startup and can add load time.</w:t>
      </w:r>
    </w:p>
    <w:p>
      <w:r>
        <w:t>The strongest evidence for a mechanism comes from same-weight ablations: original weights improve when copying and count tables are enabled, and continued six-layer weights improve under count-dependent smoothing. The evidence for individual backbone choices is weaker because several architectural and size changes were bundled. Additional training gives progressively smaller validation gains while making the final result less comparable with the equal-budget baseline. The 1.6137 final validation score is useful, but its lack of complete test and cost results prevents a complete final compliance claim.</w:t>
      </w:r>
    </w:p>
    <w:p>
      <w:r>
        <w:t>A further concern is model selection. Hundreds of smoothing configurations were screened on validation, and intermediate complete test results appeared during development. Although the latest continuation used validation to select its 600-step checkpoint and did not inspect its test result, the broader history weakens any claim that the test set has remained fully untouched. The report therefore labels every test result by its exact checkpoint and avoids presenting the latest validation number as a tested generalization result.</w:t>
      </w:r>
    </w:p>
    <w:p>
      <w:pPr>
        <w:pStyle w:val="Heading2"/>
      </w:pPr>
      <w:r>
        <w:t>Conclusion and submission actions</w:t>
      </w:r>
    </w:p>
    <w:p>
      <w:r>
        <w:t>Relative to the recorded original baseline, the latest validation BPB decreased from 2.0711 to 1.6137. At matched 9,830,400 training targets, the six-layer fixed-memory system achieved 1.6654. The most recent complete test result belongs to the preceding adaptive checkpoint: 1.6338. The personal goal of less than 1.5 BPB was not attained, and the GUIDE does not require that threshold. Before submission, the latest checkpoint needs a complete frozen test score, same-machine paired CPU timing, memory and asset accounting, and a checked mapping between code, configuration, and checkpoint.</w:t>
      </w:r>
    </w:p>
    <w:p>
      <w:pPr>
        <w:pStyle w:val="Heading2"/>
      </w:pPr>
      <w:r>
        <w:t>Sources and assistance disclosure</w:t>
      </w:r>
    </w:p>
    <w:p>
      <w:r>
        <w:t>Sources: course code/README.md and guide/GUIDE.md; project experiment records STUDENT_EXPERIMENT.md, ARCH_EXPERIMENT.md, FINETUNE_EXPERIMENT.md, ADAPTIVE_EXPERIMENT.md, TRAIN_RECIPE_EXPERIMENT.md, and associated metrics files. Numerical claims here reproduce recorded runs; missing measurements are identified explicitly. ChatGPT materially assisted with model-design discussion, code edits, experimental interpretation, and drafting this report. The submitter should verify the final files and disclose this assistance in the repository README.</w:t>
      </w:r>
    </w:p>
    <w:sectPr w:rsidR="00FC693F" w:rsidRPr="0006063C" w:rsidSect="00034616">
      <w:footerReference w:type="default" r:id="rId9"/>
      <w:pgSz w:w="12240" w:h="15840"/>
      <w:pgMar w:top="1037" w:right="1210" w:bottom="979"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