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HENRY ALVARADO
          <w:br/>
          91971 WILLIAMS SHOALS
          <w:br/>
          PORT RICHARD, SK  M6J 1P4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Henry Alvarado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January 10, 1940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Tenetur hic eaque praesentium.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$2,449.83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$2,449.83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