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81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5.png" ContentType="image/png"/>
  <Override PartName="/word/media/rId105.png" ContentType="image/png"/>
  <Override PartName="/word/media/rId109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29.png" ContentType="image/png"/>
  <Override PartName="/word/media/rId77.png" ContentType="image/png"/>
  <Override PartName="/word/media/rId85.png" ContentType="image/png"/>
  <Override PartName="/word/media/rId8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создать каталог для выполнения лабораторной работы №10, перейти в него и создать файл lab10-1.asm. В качестве примера рассматривается программа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Внимательно изучаю текст программы и ввожу её в файл. (рис. 1)</w:t>
      </w:r>
    </w:p>
    <w:p>
      <w:pPr>
        <w:pStyle w:val="CaptionedFigure"/>
      </w:pPr>
      <w:bookmarkStart w:id="24" w:name="fig:001"/>
      <w:r>
        <w:drawing>
          <wp:inline>
            <wp:extent cx="5334000" cy="6011713"/>
            <wp:effectExtent b="0" l="0" r="0" t="0"/>
            <wp:docPr descr="Рис. 1: Текст программы в файле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 в файле</w:t>
      </w:r>
    </w:p>
    <w:p>
      <w:pPr>
        <w:pStyle w:val="BodyText"/>
      </w:pPr>
      <w:r>
        <w:t xml:space="preserve">Создаю исполняемый файл и проверяю его работу. (рис. 2)</w:t>
      </w:r>
    </w:p>
    <w:p>
      <w:pPr>
        <w:pStyle w:val="CaptionedFigure"/>
      </w:pPr>
      <w:bookmarkStart w:id="28" w:name="fig:002"/>
      <w:r>
        <w:drawing>
          <wp:inline>
            <wp:extent cx="5043637" cy="943275"/>
            <wp:effectExtent b="0" l="0" r="0" t="0"/>
            <wp:docPr descr="Рис. 2: Проверка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Ark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программы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_calcul, для вычисления выражения f(g(x)), где x вводится с клавиатуры, f(x) = 2x + 7, g(x) = 3x − 1. (рис. 3)</w:t>
      </w:r>
    </w:p>
    <w:p>
      <w:pPr>
        <w:pStyle w:val="CaptionedFigure"/>
      </w:pPr>
      <w:bookmarkStart w:id="32" w:name="fig:003"/>
      <w:r>
        <w:drawing>
          <wp:inline>
            <wp:extent cx="5334000" cy="6019686"/>
            <wp:effectExtent b="0" l="0" r="0" t="0"/>
            <wp:docPr descr="Рис. 3: Текст программы в файле" title="" id="30" name="Picture"/>
            <a:graphic>
              <a:graphicData uri="http://schemas.openxmlformats.org/drawingml/2006/picture">
                <pic:pic>
                  <pic:nvPicPr>
                    <pic:cNvPr descr="image/Arkh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 в файле</w:t>
      </w:r>
    </w:p>
    <w:p>
      <w:pPr>
        <w:pStyle w:val="BodyText"/>
      </w:pPr>
      <w:r>
        <w:t xml:space="preserve">После чего её проверяю. (рис. 4)</w:t>
      </w:r>
    </w:p>
    <w:p>
      <w:pPr>
        <w:pStyle w:val="CaptionedFigure"/>
      </w:pPr>
      <w:bookmarkStart w:id="36" w:name="fig:004"/>
      <w:r>
        <w:drawing>
          <wp:inline>
            <wp:extent cx="5005136" cy="875898"/>
            <wp:effectExtent b="0" l="0" r="0" t="0"/>
            <wp:docPr descr="Рис. 4: Проверка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Arkh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работы программы</w:t>
      </w:r>
    </w:p>
    <w:p>
      <w:pPr>
        <w:pStyle w:val="BodyText"/>
      </w:pPr>
      <w:r>
        <w:t xml:space="preserve">Дальше создаю файл lab10-2.asm с текстом программы из листинга. (Программа печати сообщения Hello world!). (рис. 5)</w:t>
      </w:r>
    </w:p>
    <w:p>
      <w:pPr>
        <w:pStyle w:val="CaptionedFigure"/>
      </w:pPr>
      <w:bookmarkStart w:id="40" w:name="fig:005"/>
      <w:r>
        <w:drawing>
          <wp:inline>
            <wp:extent cx="5334000" cy="5986817"/>
            <wp:effectExtent b="0" l="0" r="0" t="0"/>
            <wp:docPr descr="Рис. 5: Текст программы в файле" title="" id="38" name="Picture"/>
            <a:graphic>
              <a:graphicData uri="http://schemas.openxmlformats.org/drawingml/2006/picture">
                <pic:pic>
                  <pic:nvPicPr>
                    <pic:cNvPr descr="image/Arkh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Текст программы в файле</w:t>
      </w:r>
    </w:p>
    <w:p>
      <w:pPr>
        <w:pStyle w:val="BodyText"/>
      </w:pPr>
      <w:r>
        <w:t xml:space="preserve">Получаю исполняемый файл. Для работы с GDB в исполняемый файл 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Потом загружаю исполняемый файл в отладчик gdb и проверяю работу программы, запустив ее в оболочке GDB с помощью команды run (сокращённо r).(рис. 6)</w:t>
      </w:r>
    </w:p>
    <w:p>
      <w:pPr>
        <w:pStyle w:val="CaptionedFigure"/>
      </w:pPr>
      <w:bookmarkStart w:id="44" w:name="fig:006"/>
      <w:r>
        <w:drawing>
          <wp:inline>
            <wp:extent cx="5334000" cy="4534299"/>
            <wp:effectExtent b="0" l="0" r="0" t="0"/>
            <wp:docPr descr="Рис. 6: Загрузка программы в оболочку GDB и её запуск" title="" id="42" name="Picture"/>
            <a:graphic>
              <a:graphicData uri="http://schemas.openxmlformats.org/drawingml/2006/picture">
                <pic:pic>
                  <pic:nvPicPr>
                    <pic:cNvPr descr="image/Arkh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программы в оболочку GDB и её запуск</w:t>
      </w:r>
    </w:p>
    <w:p>
      <w:pPr>
        <w:pStyle w:val="BodyText"/>
      </w:pPr>
      <w:r>
        <w:t xml:space="preserve">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её.(рис. 7)</w:t>
      </w:r>
    </w:p>
    <w:p>
      <w:pPr>
        <w:pStyle w:val="CaptionedFigure"/>
      </w:pPr>
      <w:bookmarkStart w:id="48" w:name="fig:007"/>
      <w:r>
        <w:drawing>
          <wp:inline>
            <wp:extent cx="5034012" cy="1280160"/>
            <wp:effectExtent b="0" l="0" r="0" t="0"/>
            <wp:docPr descr="Рис. 7: Запуск программы с брейкпоинтом" title="" id="46" name="Picture"/>
            <a:graphic>
              <a:graphicData uri="http://schemas.openxmlformats.org/drawingml/2006/picture">
                <pic:pic>
                  <pic:nvPicPr>
                    <pic:cNvPr descr="image/Arkh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с брейкпоинтом</w:t>
      </w:r>
    </w:p>
    <w:p>
      <w:pPr>
        <w:pStyle w:val="BodyText"/>
      </w:pPr>
      <w:r>
        <w:t xml:space="preserve">Теперь смотрю дисассимилированный код программы с помощью команды disassemble начиная с метки _start. (рис. 8)</w:t>
      </w:r>
    </w:p>
    <w:p>
      <w:pPr>
        <w:pStyle w:val="CaptionedFigure"/>
      </w:pPr>
      <w:bookmarkStart w:id="52" w:name="fig:008"/>
      <w:r>
        <w:drawing>
          <wp:inline>
            <wp:extent cx="3667225" cy="2839452"/>
            <wp:effectExtent b="0" l="0" r="0" t="0"/>
            <wp:docPr descr="Рис. 8: Дисассимилированный код программы" title="" id="50" name="Picture"/>
            <a:graphic>
              <a:graphicData uri="http://schemas.openxmlformats.org/drawingml/2006/picture">
                <pic:pic>
                  <pic:nvPicPr>
                    <pic:cNvPr descr="image/Arkh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Дисассимилированный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intel. Разница синтаксиса машинных команд в режимах ATT и Intel в том, что в АТТ перед всеми значениями и адресами стоять символы $, а перед регистрами - %, также в АТТ во всех командах mov аргументы стоят в обратном порядке. (рис. 9)</w:t>
      </w:r>
    </w:p>
    <w:p>
      <w:pPr>
        <w:pStyle w:val="CaptionedFigure"/>
      </w:pPr>
      <w:bookmarkStart w:id="56" w:name="fig:009"/>
      <w:r>
        <w:drawing>
          <wp:inline>
            <wp:extent cx="3609473" cy="2974206"/>
            <wp:effectExtent b="0" l="0" r="0" t="0"/>
            <wp:docPr descr="Рис. 9: Дисассимилированный код программы с Intel’овским синтаксисом" title="" id="54" name="Picture"/>
            <a:graphic>
              <a:graphicData uri="http://schemas.openxmlformats.org/drawingml/2006/picture">
                <pic:pic>
                  <pic:nvPicPr>
                    <pic:cNvPr descr="image/Arkh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Дисассимилированный код программы с Intel’овским синтаксисом</w:t>
      </w:r>
    </w:p>
    <w:p>
      <w:pPr>
        <w:pStyle w:val="BodyText"/>
      </w:pPr>
      <w:r>
        <w:t xml:space="preserve">Далее включаю режим псевдографики для более удобного анализа программы. (рис. 10)</w:t>
      </w:r>
    </w:p>
    <w:p>
      <w:pPr>
        <w:pStyle w:val="CaptionedFigure"/>
      </w:pPr>
      <w:bookmarkStart w:id="60" w:name="fig:010"/>
      <w:r>
        <w:drawing>
          <wp:inline>
            <wp:extent cx="5334000" cy="6045733"/>
            <wp:effectExtent b="0" l="0" r="0" t="0"/>
            <wp:docPr descr="Рис. 10: Режим псевдографики gdb" title="" id="58" name="Picture"/>
            <a:graphic>
              <a:graphicData uri="http://schemas.openxmlformats.org/drawingml/2006/picture">
                <pic:pic>
                  <pic:nvPicPr>
                    <pic:cNvPr descr="image/Arkh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Режим псевдографики gdb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Проверяю это с помощью команды info breakpoints (кратко i b). (рис. 11)</w:t>
      </w:r>
    </w:p>
    <w:p>
      <w:pPr>
        <w:pStyle w:val="CaptionedFigure"/>
      </w:pPr>
      <w:bookmarkStart w:id="64" w:name="fig:011"/>
      <w:r>
        <w:drawing>
          <wp:inline>
            <wp:extent cx="5334000" cy="3933723"/>
            <wp:effectExtent b="0" l="0" r="0" t="0"/>
            <wp:docPr descr="Рис. 11: Информация о точке останова" title="" id="62" name="Picture"/>
            <a:graphic>
              <a:graphicData uri="http://schemas.openxmlformats.org/drawingml/2006/picture">
                <pic:pic>
                  <pic:nvPicPr>
                    <pic:cNvPr descr="image/Arkh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Информация о точке останова</w:t>
      </w:r>
    </w:p>
    <w:p>
      <w:pPr>
        <w:pStyle w:val="BodyText"/>
      </w:pPr>
      <w:r>
        <w:t xml:space="preserve">Устанавливаю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Определяю адрес предпоследней инструкции (mov ebx,0x0) и устаноавливаю точку останова.(рис. 12)</w:t>
      </w:r>
    </w:p>
    <w:p>
      <w:pPr>
        <w:pStyle w:val="CaptionedFigure"/>
      </w:pPr>
      <w:bookmarkStart w:id="68" w:name="fig:012"/>
      <w:r>
        <w:drawing>
          <wp:inline>
            <wp:extent cx="4533498" cy="1443789"/>
            <wp:effectExtent b="0" l="0" r="0" t="0"/>
            <wp:docPr descr="Рис. 12: Новая точка останова и информация о ней" title="" id="66" name="Picture"/>
            <a:graphic>
              <a:graphicData uri="http://schemas.openxmlformats.org/drawingml/2006/picture">
                <pic:pic>
                  <pic:nvPicPr>
                    <pic:cNvPr descr="image/Arkh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Новая точка останова и информация о ней</w:t>
      </w:r>
    </w:p>
    <w:p>
      <w:pPr>
        <w:pStyle w:val="BodyText"/>
      </w:pPr>
      <w:r>
        <w:t xml:space="preserve">Посмотреть содержимое регистров можно с помощью команды info registers (или i r). (рис. 13)</w:t>
      </w:r>
    </w:p>
    <w:p>
      <w:pPr>
        <w:pStyle w:val="CaptionedFigure"/>
      </w:pPr>
      <w:bookmarkStart w:id="72" w:name="fig:013"/>
      <w:r>
        <w:drawing>
          <wp:inline>
            <wp:extent cx="4196614" cy="2964581"/>
            <wp:effectExtent b="0" l="0" r="0" t="0"/>
            <wp:docPr descr="Рис. 13: Результат работы команды info registers" title="" id="70" name="Picture"/>
            <a:graphic>
              <a:graphicData uri="http://schemas.openxmlformats.org/drawingml/2006/picture">
                <pic:pic>
                  <pic:nvPicPr>
                    <pic:cNvPr descr="image/Arkh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Результат работы команды info registers</w:t>
      </w:r>
    </w:p>
    <w:p>
      <w:pPr>
        <w:pStyle w:val="BodyText"/>
      </w:pPr>
      <w:r>
        <w:t xml:space="preserve">С помощью команды x &amp;</w:t>
      </w:r>
      <w:r>
        <w:t xml:space="preserve"> </w:t>
      </w:r>
      <w:r>
        <w:t xml:space="preserve">можно посмотреть содержимое переменной. Я смотрю значение переменной msg1 по имени. (рис. 14)</w:t>
      </w:r>
    </w:p>
    <w:p>
      <w:pPr>
        <w:pStyle w:val="CaptionedFigure"/>
      </w:pPr>
      <w:bookmarkStart w:id="76" w:name="fig:014"/>
      <w:r>
        <w:drawing>
          <wp:inline>
            <wp:extent cx="2666197" cy="375385"/>
            <wp:effectExtent b="0" l="0" r="0" t="0"/>
            <wp:docPr descr="Рис. 14: Содержимое переменной msg1" title="" id="74" name="Picture"/>
            <a:graphic>
              <a:graphicData uri="http://schemas.openxmlformats.org/drawingml/2006/picture">
                <pic:pic>
                  <pic:nvPicPr>
                    <pic:cNvPr descr="image/Arkh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Содержимое переменной msg1</w:t>
      </w:r>
    </w:p>
    <w:p>
      <w:pPr>
        <w:pStyle w:val="BodyText"/>
      </w:pPr>
      <w:r>
        <w:t xml:space="preserve">Значение переменной msg2 смотрю по адресу. (рис. 15)</w:t>
      </w:r>
    </w:p>
    <w:p>
      <w:pPr>
        <w:pStyle w:val="CaptionedFigure"/>
      </w:pPr>
      <w:bookmarkStart w:id="80" w:name="fig:015"/>
      <w:r>
        <w:drawing>
          <wp:inline>
            <wp:extent cx="2666197" cy="375385"/>
            <wp:effectExtent b="0" l="0" r="0" t="0"/>
            <wp:docPr descr="Рис. 15: Содержимое переменной msg1" title="" id="78" name="Picture"/>
            <a:graphic>
              <a:graphicData uri="http://schemas.openxmlformats.org/drawingml/2006/picture">
                <pic:pic>
                  <pic:nvPicPr>
                    <pic:cNvPr descr="image/Arkh3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Содержимое переменной msg1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Я изменяю первый символ переменной msg1. (рис. 16)</w:t>
      </w:r>
    </w:p>
    <w:p>
      <w:pPr>
        <w:pStyle w:val="CaptionedFigure"/>
      </w:pPr>
      <w:bookmarkStart w:id="84" w:name="fig:016"/>
      <w:r>
        <w:drawing>
          <wp:inline>
            <wp:extent cx="2646947" cy="577515"/>
            <wp:effectExtent b="0" l="0" r="0" t="0"/>
            <wp:docPr descr="Рис. 16: Изменение содержимого переменной msg1" title="" id="82" name="Picture"/>
            <a:graphic>
              <a:graphicData uri="http://schemas.openxmlformats.org/drawingml/2006/picture">
                <pic:pic>
                  <pic:nvPicPr>
                    <pic:cNvPr descr="image/Arkh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содержимого переменной msg1</w:t>
      </w:r>
    </w:p>
    <w:p>
      <w:pPr>
        <w:pStyle w:val="BodyText"/>
      </w:pPr>
      <w:r>
        <w:t xml:space="preserve">Замените любой символ во второй переменной msg2.(рис. 17)</w:t>
      </w:r>
    </w:p>
    <w:p>
      <w:pPr>
        <w:pStyle w:val="CaptionedFigure"/>
      </w:pPr>
      <w:bookmarkStart w:id="88" w:name="fig:017"/>
      <w:r>
        <w:drawing>
          <wp:inline>
            <wp:extent cx="2993456" cy="567890"/>
            <wp:effectExtent b="0" l="0" r="0" t="0"/>
            <wp:docPr descr="Рис. 17: Изменение содержимого переменной msg2" title="" id="86" name="Picture"/>
            <a:graphic>
              <a:graphicData uri="http://schemas.openxmlformats.org/drawingml/2006/picture">
                <pic:pic>
                  <pic:nvPicPr>
                    <pic:cNvPr descr="image/Arkh3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Изменение содержимого переменной msg2</w:t>
      </w:r>
    </w:p>
    <w:p>
      <w:pPr>
        <w:pStyle w:val="BodyText"/>
      </w:pPr>
      <w:r>
        <w:t xml:space="preserve">Вывожу в различных форматах (в шестнадцатеричном формате, в двоичном формате и в символьном виде) значение регистра edx. (рис. 18)</w:t>
      </w:r>
    </w:p>
    <w:p>
      <w:pPr>
        <w:pStyle w:val="CaptionedFigure"/>
      </w:pPr>
      <w:bookmarkStart w:id="92" w:name="fig:018"/>
      <w:r>
        <w:drawing>
          <wp:inline>
            <wp:extent cx="4129237" cy="1414913"/>
            <wp:effectExtent b="0" l="0" r="0" t="0"/>
            <wp:docPr descr="Рис. 18: Значение регистра edx в разных форматах" title="" id="90" name="Picture"/>
            <a:graphic>
              <a:graphicData uri="http://schemas.openxmlformats.org/drawingml/2006/picture">
                <pic:pic>
                  <pic:nvPicPr>
                    <pic:cNvPr descr="image/Arkh3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Значение регистра edx в разных форматах</w:t>
      </w:r>
    </w:p>
    <w:p>
      <w:pPr>
        <w:pStyle w:val="BodyText"/>
      </w:pPr>
      <w:r>
        <w:t xml:space="preserve">С помощью команды set изменяю значение регистра ebx. (рис. 19)</w:t>
      </w:r>
    </w:p>
    <w:p>
      <w:pPr>
        <w:pStyle w:val="CaptionedFigure"/>
      </w:pPr>
      <w:bookmarkStart w:id="96" w:name="fig:019"/>
      <w:r>
        <w:drawing>
          <wp:inline>
            <wp:extent cx="1530416" cy="1588168"/>
            <wp:effectExtent b="0" l="0" r="0" t="0"/>
            <wp:docPr descr="Рис. 19: Меняющиеся значения регистра ebx" title="" id="94" name="Picture"/>
            <a:graphic>
              <a:graphicData uri="http://schemas.openxmlformats.org/drawingml/2006/picture">
                <pic:pic>
                  <pic:nvPicPr>
                    <pic:cNvPr descr="image/Arkh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Меняющиеся значения регистра ebx</w:t>
      </w:r>
    </w:p>
    <w:p>
      <w:pPr>
        <w:pStyle w:val="BodyText"/>
      </w:pPr>
      <w:r>
        <w:t xml:space="preserve">В первый раз в регистре находится символ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 программа выводит его код, во второй - значение 2.</w:t>
      </w:r>
      <w:r>
        <w:t xml:space="preserve"> </w:t>
      </w:r>
      <w:r>
        <w:t xml:space="preserve">Завершаю выполнение программы с помощью команды continue (сокращенно c) или stepi (сокращенно si) и выхожу из GDB с помощью команды quit (сокращенно q). (рис. 20)</w:t>
      </w:r>
    </w:p>
    <w:p>
      <w:pPr>
        <w:pStyle w:val="CaptionedFigure"/>
      </w:pPr>
      <w:bookmarkStart w:id="100" w:name="fig:020"/>
      <w:r>
        <w:drawing>
          <wp:inline>
            <wp:extent cx="1001027" cy="365760"/>
            <wp:effectExtent b="0" l="0" r="0" t="0"/>
            <wp:docPr descr="Рис. 20: Выход из GDB" title="" id="98" name="Picture"/>
            <a:graphic>
              <a:graphicData uri="http://schemas.openxmlformats.org/drawingml/2006/picture">
                <pic:pic>
                  <pic:nvPicPr>
                    <pic:cNvPr descr="image/Arkh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27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Выход из GDB</w:t>
      </w:r>
    </w:p>
    <w:p>
      <w:pPr>
        <w:pStyle w:val="BodyText"/>
      </w:pPr>
      <w:r>
        <w:t xml:space="preserve">Копирую файл lab9-2.asm, созданный при выполнении лабораторной работы №9, с программой выводящей на экран аргументы командной строки в файл с именем lab10-3.asm и создаю исполняемый файл. Для загрузки в gdb программы с аргументами необходимо использовать ключ –args. Загружаю исполняемый файл в отладчик, указав аргументы. (рис. 21)</w:t>
      </w:r>
    </w:p>
    <w:p>
      <w:pPr>
        <w:pStyle w:val="CaptionedFigure"/>
      </w:pPr>
      <w:bookmarkStart w:id="104" w:name="fig:021"/>
      <w:r>
        <w:drawing>
          <wp:inline>
            <wp:extent cx="5334000" cy="509310"/>
            <wp:effectExtent b="0" l="0" r="0" t="0"/>
            <wp:docPr descr="Рис. 21: Загрузка файла lab10-3 в GDB" title="" id="102" name="Picture"/>
            <a:graphic>
              <a:graphicData uri="http://schemas.openxmlformats.org/drawingml/2006/picture">
                <pic:pic>
                  <pic:nvPicPr>
                    <pic:cNvPr descr="image/Arkh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Загрузка файла lab10-3 в GDB</w:t>
      </w:r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 командной строки загружаются в стек. Исследую расположение аргументов командной строки в стеке после запуска программы с помощью gdb для начала установив точку останова перед первой инструкцией в программе и запустив ее. (рис. 22)</w:t>
      </w:r>
    </w:p>
    <w:p>
      <w:pPr>
        <w:pStyle w:val="CaptionedFigure"/>
      </w:pPr>
      <w:bookmarkStart w:id="108" w:name="fig:022"/>
      <w:r>
        <w:drawing>
          <wp:inline>
            <wp:extent cx="5334000" cy="1645449"/>
            <wp:effectExtent b="0" l="0" r="0" t="0"/>
            <wp:docPr descr="Рис. 22: Запуск файла lab10-3 в GDB" title="" id="106" name="Picture"/>
            <a:graphic>
              <a:graphicData uri="http://schemas.openxmlformats.org/drawingml/2006/picture">
                <pic:pic>
                  <pic:nvPicPr>
                    <pic:cNvPr descr="image/Arkh2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Запуск файла lab10-3 в GDB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Смотрите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т.д.(рис. 23)</w:t>
      </w:r>
    </w:p>
    <w:p>
      <w:pPr>
        <w:pStyle w:val="CaptionedFigure"/>
      </w:pPr>
      <w:bookmarkStart w:id="112" w:name="fig:023"/>
      <w:r>
        <w:drawing>
          <wp:inline>
            <wp:extent cx="4985886" cy="2618071"/>
            <wp:effectExtent b="0" l="0" r="0" t="0"/>
            <wp:docPr descr="Рис. 23: Аргументы программы по их адресам" title="" id="110" name="Picture"/>
            <a:graphic>
              <a:graphicData uri="http://schemas.openxmlformats.org/drawingml/2006/picture">
                <pic:pic>
                  <pic:nvPicPr>
                    <pic:cNvPr descr="image/Arkh2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Аргументы программы по их адресам</w:t>
      </w:r>
    </w:p>
    <w:p>
      <w:pPr>
        <w:pStyle w:val="BodyText"/>
      </w:pPr>
      <w:r>
        <w:t xml:space="preserve">Шаг равен 4, так как каждый адрес занимает 4 байта.</w:t>
      </w:r>
    </w:p>
    <w:bookmarkEnd w:id="113"/>
    <w:bookmarkStart w:id="14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Преобразую программу из лабораторной работы №9 (Задание №1 для самостоятельной работы), реализовав вычисление значения функции f(x) как подпрограмму. (рис. 24)</w:t>
      </w:r>
    </w:p>
    <w:p>
      <w:pPr>
        <w:pStyle w:val="CaptionedFigure"/>
      </w:pPr>
      <w:bookmarkStart w:id="117" w:name="fig:024"/>
      <w:r>
        <w:drawing>
          <wp:inline>
            <wp:extent cx="5334000" cy="4530246"/>
            <wp:effectExtent b="0" l="0" r="0" t="0"/>
            <wp:docPr descr="Рис. 24: Изменённая программа в файле" title="" id="115" name="Picture"/>
            <a:graphic>
              <a:graphicData uri="http://schemas.openxmlformats.org/drawingml/2006/picture">
                <pic:pic>
                  <pic:nvPicPr>
                    <pic:cNvPr descr="image/Arkh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Изменённая программа в файле</w:t>
      </w:r>
    </w:p>
    <w:p>
      <w:pPr>
        <w:pStyle w:val="BodyText"/>
      </w:pPr>
      <w:r>
        <w:t xml:space="preserve">И проверяю её работу. (рис. 25)</w:t>
      </w:r>
    </w:p>
    <w:p>
      <w:pPr>
        <w:pStyle w:val="CaptionedFigure"/>
      </w:pPr>
      <w:bookmarkStart w:id="121" w:name="fig:025"/>
      <w:r>
        <w:drawing>
          <wp:inline>
            <wp:extent cx="5024387" cy="721894"/>
            <wp:effectExtent b="0" l="0" r="0" t="0"/>
            <wp:docPr descr="Рис. 25: Проверка работы программы" title="" id="119" name="Picture"/>
            <a:graphic>
              <a:graphicData uri="http://schemas.openxmlformats.org/drawingml/2006/picture">
                <pic:pic>
                  <pic:nvPicPr>
                    <pic:cNvPr descr="image/Arkh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Проверка работы программы</w:t>
      </w:r>
    </w:p>
    <w:p>
      <w:pPr>
        <w:numPr>
          <w:ilvl w:val="0"/>
          <w:numId w:val="1002"/>
        </w:numPr>
        <w:pStyle w:val="Compact"/>
      </w:pPr>
      <w:r>
        <w:t xml:space="preserve">В листинге приведена программа вычисления выражения (3 + 2) * 4 + 5. При запуске данная программа дает неверный результат. Проверяю это и с помощью отладчика GDB, анализируя изменения значений регистров, определяю ошибку и исправляю ее.(рис. 26)</w:t>
      </w:r>
    </w:p>
    <w:p>
      <w:pPr>
        <w:pStyle w:val="CaptionedFigure"/>
      </w:pPr>
      <w:bookmarkStart w:id="125" w:name="fig:026"/>
      <w:r>
        <w:drawing>
          <wp:inline>
            <wp:extent cx="5334000" cy="4530246"/>
            <wp:effectExtent b="0" l="0" r="0" t="0"/>
            <wp:docPr descr="Рис. 26: Программа из листинга в файле" title="" id="123" name="Picture"/>
            <a:graphic>
              <a:graphicData uri="http://schemas.openxmlformats.org/drawingml/2006/picture">
                <pic:pic>
                  <pic:nvPicPr>
                    <pic:cNvPr descr="image/Arkh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Программа из листинга в файле</w:t>
      </w:r>
    </w:p>
    <w:p>
      <w:pPr>
        <w:pStyle w:val="BodyText"/>
      </w:pPr>
      <w:r>
        <w:t xml:space="preserve">Результат сложения оказывается не в том регистре и не участвует в умножении, сложение и вывод происходят с регистром, где умножения не происходило. (рис. 27) (рис. 28)</w:t>
      </w:r>
    </w:p>
    <w:p>
      <w:pPr>
        <w:pStyle w:val="CaptionedFigure"/>
      </w:pPr>
      <w:bookmarkStart w:id="129" w:name="fig:027"/>
      <w:r>
        <w:drawing>
          <wp:inline>
            <wp:extent cx="1925052" cy="2252311"/>
            <wp:effectExtent b="0" l="0" r="0" t="0"/>
            <wp:docPr descr="Рис. 27: Значения регистров в процессе выполнения программы" title="" id="127" name="Picture"/>
            <a:graphic>
              <a:graphicData uri="http://schemas.openxmlformats.org/drawingml/2006/picture">
                <pic:pic>
                  <pic:nvPicPr>
                    <pic:cNvPr descr="image/Arkh2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Значения регистров в процессе выполнения программы</w:t>
      </w:r>
    </w:p>
    <w:p>
      <w:pPr>
        <w:pStyle w:val="CaptionedFigure"/>
      </w:pPr>
      <w:bookmarkStart w:id="133" w:name="fig:028"/>
      <w:r>
        <w:drawing>
          <wp:inline>
            <wp:extent cx="3484345" cy="2541069"/>
            <wp:effectExtent b="0" l="0" r="0" t="0"/>
            <wp:docPr descr="Рис. 28: В выводе участвует регистр ebx вместо регистра eax" title="" id="131" name="Picture"/>
            <a:graphic>
              <a:graphicData uri="http://schemas.openxmlformats.org/drawingml/2006/picture">
                <pic:pic>
                  <pic:nvPicPr>
                    <pic:cNvPr descr="image/Arkh2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В выводе участвует регистр ebx вместо регистра eax</w:t>
      </w:r>
    </w:p>
    <w:p>
      <w:pPr>
        <w:pStyle w:val="BodyText"/>
      </w:pPr>
      <w:r>
        <w:t xml:space="preserve">Исправляю программу.(рис. 29)</w:t>
      </w:r>
    </w:p>
    <w:p>
      <w:pPr>
        <w:pStyle w:val="CaptionedFigure"/>
      </w:pPr>
      <w:bookmarkStart w:id="137" w:name="fig:029"/>
      <w:r>
        <w:drawing>
          <wp:inline>
            <wp:extent cx="962526" cy="875898"/>
            <wp:effectExtent b="0" l="0" r="0" t="0"/>
            <wp:docPr descr="Рис. 29: Исправленная программа в файле" title="" id="135" name="Picture"/>
            <a:graphic>
              <a:graphicData uri="http://schemas.openxmlformats.org/drawingml/2006/picture">
                <pic:pic>
                  <pic:nvPicPr>
                    <pic:cNvPr descr="image/Arkh2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26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Исправленная программа в файле</w:t>
      </w:r>
    </w:p>
    <w:p>
      <w:pPr>
        <w:pStyle w:val="BodyText"/>
      </w:pPr>
      <w:r>
        <w:t xml:space="preserve">Теперь вывод корректен. (рис. 30)</w:t>
      </w:r>
    </w:p>
    <w:p>
      <w:pPr>
        <w:pStyle w:val="CaptionedFigure"/>
      </w:pPr>
      <w:bookmarkStart w:id="141" w:name="fig:030"/>
      <w:r>
        <w:drawing>
          <wp:inline>
            <wp:extent cx="5334000" cy="4542546"/>
            <wp:effectExtent b="0" l="0" r="0" t="0"/>
            <wp:docPr descr="Рис. 30: Результат выполнения исправленной программы" title="" id="139" name="Picture"/>
            <a:graphic>
              <a:graphicData uri="http://schemas.openxmlformats.org/drawingml/2006/picture">
                <pic:pic>
                  <pic:nvPicPr>
                    <pic:cNvPr descr="image/Arkh28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Результат выполнения исправленной программы</w:t>
      </w:r>
    </w:p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приобретены навыков написания программ с использованием подпрограмм. Знакомство с методами отладки при помощи GDB и его основными возможностями прошло успешно.</w:t>
      </w:r>
    </w:p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5" Target="media/rId25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29" Target="media/rId29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Скандарова Полина Юрьевна</dc:creator>
  <dc:language>ru-RU</dc:language>
  <cp:keywords/>
  <dcterms:created xsi:type="dcterms:W3CDTF">2022-12-16T00:19:23Z</dcterms:created>
  <dcterms:modified xsi:type="dcterms:W3CDTF">2022-12-16T00:19:23Z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