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14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Полина Юрьевна Скандарова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между территориями (рис. 1 , рис. 2 , рис. 3 , рис. 4, рис. 5).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квартале 42 в Москве (рис. 6 , рис. 7 , рис. 8 , рис. 9).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филиале в г. Сочи (рис. 10 , рис. 11).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между территориями (рис. 12 , рис. 13 , рис. 14).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на территории квартала 42 в г. Москве (рис. 15 , рис. 16).</w:t>
      </w:r>
    </w:p>
    <w:p>
      <w:pPr>
        <w:pStyle w:val="Compact"/>
        <w:numPr>
          <w:ilvl w:val="0"/>
          <w:numId w:val="1001"/>
        </w:numPr>
      </w:pPr>
      <w:r>
        <w:t xml:space="preserve">Настроить NAT на маршрутизаторе msk-donskaya-gw-1 (рис. 17).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линка между площадками</w:t>
      </w:r>
    </w:p>
    <w:bookmarkStart w:id="25" w:name="fig:001"/>
    <w:p>
      <w:pPr>
        <w:pStyle w:val="CaptionedFigure"/>
      </w:pPr>
      <w:r>
        <w:drawing>
          <wp:inline>
            <wp:extent cx="3733800" cy="1847371"/>
            <wp:effectExtent b="0" l="0" r="0" t="0"/>
            <wp:docPr descr="Рис. 1: Настройка интерфейсов коммутатора provider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интерфейсов коммутатора provider-sw-1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1317073"/>
            <wp:effectExtent b="0" l="0" r="0" t="0"/>
            <wp:docPr descr="Рис. 2: Настройка интерфейсов маршрутизатора msk-donskaya-g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интерфейсов маршрутизатора msk-donskaya-gw-1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486225"/>
            <wp:effectExtent b="0" l="0" r="0" t="0"/>
            <wp:docPr descr="Рис. 3: Настройка интерфейсов маршрутизатора msk-q42-g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msk-q42-gw-1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659030"/>
            <wp:effectExtent b="0" l="0" r="0" t="0"/>
            <wp:docPr descr="Рис. 4: Настройка интерфейсов коммутатора sch-sochi-sw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sch-sochi-sw-1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423679"/>
            <wp:effectExtent b="0" l="0" r="0" t="0"/>
            <wp:docPr descr="Рис. 5: Настройка интерфейсов маршрутизатора sch-sochi-g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sch-sochi-gw-1</w:t>
      </w:r>
    </w:p>
    <w:bookmarkEnd w:id="41"/>
    <w:p>
      <w:pPr>
        <w:pStyle w:val="BodyText"/>
      </w:pPr>
      <w:r>
        <w:t xml:space="preserve">Настройка площадки 42-го квартала</w:t>
      </w:r>
    </w:p>
    <w:bookmarkStart w:id="45" w:name="fig:006"/>
    <w:p>
      <w:pPr>
        <w:pStyle w:val="CaptionedFigure"/>
      </w:pPr>
      <w:r>
        <w:drawing>
          <wp:inline>
            <wp:extent cx="3733800" cy="1688007"/>
            <wp:effectExtent b="0" l="0" r="0" t="0"/>
            <wp:docPr descr="Рис. 6: Настройка интерфейсов маршрутизатора msk-q42-gw-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маршрутизатора msk-q42-gw-1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014515"/>
            <wp:effectExtent b="0" l="0" r="0" t="0"/>
            <wp:docPr descr="Рис. 7: Настройка интерфейсов коммутатора msk-q42-sw-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коммутатора msk-q42-sw-1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2373959"/>
            <wp:effectExtent b="0" l="0" r="0" t="0"/>
            <wp:docPr descr="Рис. 8: Настройка интерфейсов маршрутизирующего коммутатора msk-hostel-gw-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интерфейсов маршрутизирующего коммутатора msk-hostel-gw-1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033636"/>
            <wp:effectExtent b="0" l="0" r="0" t="0"/>
            <wp:docPr descr="Рис. 9: Настройка интерфейсов коммутатора msk-hostel-sw-1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интерфейсов коммутатора msk-hostel-sw-1</w:t>
      </w:r>
    </w:p>
    <w:bookmarkEnd w:id="57"/>
    <w:p>
      <w:pPr>
        <w:pStyle w:val="BodyText"/>
      </w:pPr>
      <w:r>
        <w:t xml:space="preserve">Настройка площадки в Сочи</w:t>
      </w:r>
    </w:p>
    <w:bookmarkStart w:id="61" w:name="fig:010"/>
    <w:p>
      <w:pPr>
        <w:pStyle w:val="CaptionedFigure"/>
      </w:pPr>
      <w:r>
        <w:drawing>
          <wp:inline>
            <wp:extent cx="3733800" cy="1008891"/>
            <wp:effectExtent b="0" l="0" r="0" t="0"/>
            <wp:docPr descr="Рис. 10: Настройка интерфейсов маршрутизатора sch-sochi-gw-1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интерфейсов маршрутизатора sch-sochi-gw-1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1010897"/>
            <wp:effectExtent b="0" l="0" r="0" t="0"/>
            <wp:docPr descr="Рис. 11: Настройка интерфейсов коммутатора sch-sochi-sw-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интерфейсов коммутатора sch-sochi-sw-1</w:t>
      </w:r>
    </w:p>
    <w:bookmarkEnd w:id="65"/>
    <w:p>
      <w:pPr>
        <w:pStyle w:val="BodyText"/>
      </w:pPr>
      <w:r>
        <w:t xml:space="preserve">Настройка маршрутизации между площадками</w:t>
      </w:r>
    </w:p>
    <w:bookmarkStart w:id="69" w:name="fig:012"/>
    <w:p>
      <w:pPr>
        <w:pStyle w:val="CaptionedFigure"/>
      </w:pPr>
      <w:r>
        <w:drawing>
          <wp:inline>
            <wp:extent cx="3733800" cy="201353"/>
            <wp:effectExtent b="0" l="0" r="0" t="0"/>
            <wp:docPr descr="Рис. 12: Настройка маршрутизатора msk-donskaya-gw-1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маршрутизатора msk-donskaya-gw-1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103286"/>
            <wp:effectExtent b="0" l="0" r="0" t="0"/>
            <wp:docPr descr="Рис. 13: Настройка маршрутизатора msk-q42-gw-1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маршрутизатора msk-q42-gw-1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115117"/>
            <wp:effectExtent b="0" l="0" r="0" t="0"/>
            <wp:docPr descr="Рис. 14: Настройка маршрутизатора sch-sochi-gw-1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маршрутизатора sch-sochi-gw-1</w:t>
      </w:r>
    </w:p>
    <w:bookmarkEnd w:id="77"/>
    <w:p>
      <w:pPr>
        <w:pStyle w:val="BodyText"/>
      </w:pPr>
      <w:r>
        <w:t xml:space="preserve">Настройка маршрутизации на 42 квартале</w:t>
      </w:r>
    </w:p>
    <w:bookmarkStart w:id="81" w:name="fig:015"/>
    <w:p>
      <w:pPr>
        <w:pStyle w:val="CaptionedFigure"/>
      </w:pPr>
      <w:r>
        <w:drawing>
          <wp:inline>
            <wp:extent cx="3733800" cy="105241"/>
            <wp:effectExtent b="0" l="0" r="0" t="0"/>
            <wp:docPr descr="Рис. 15: Настройка маршрутизатора msk-q42-gw-1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маршрутизатора msk-q42-gw-1</w:t>
      </w:r>
    </w:p>
    <w:bookmarkEnd w:id="81"/>
    <w:bookmarkStart w:id="85" w:name="fig:016"/>
    <w:p>
      <w:pPr>
        <w:pStyle w:val="CaptionedFigure"/>
      </w:pPr>
      <w:r>
        <w:drawing>
          <wp:inline>
            <wp:extent cx="3733800" cy="212781"/>
            <wp:effectExtent b="0" l="0" r="0" t="0"/>
            <wp:docPr descr="Рис. 16: Настройка интерфейсов маршрутизирующего коммутатора msk-hostel-gw-1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интерфейсов маршрутизирующего коммутатора msk-hostel-gw-1</w:t>
      </w:r>
    </w:p>
    <w:bookmarkEnd w:id="85"/>
    <w:p>
      <w:pPr>
        <w:pStyle w:val="BodyText"/>
      </w:pPr>
      <w:r>
        <w:t xml:space="preserve">Настройка NAT на маршрутизаторе msk-donskaya-gw-1</w:t>
      </w:r>
    </w:p>
    <w:bookmarkStart w:id="89" w:name="fig:017"/>
    <w:p>
      <w:pPr>
        <w:pStyle w:val="CaptionedFigure"/>
      </w:pPr>
      <w:r>
        <w:drawing>
          <wp:inline>
            <wp:extent cx="3733800" cy="1564341"/>
            <wp:effectExtent b="0" l="0" r="0" t="0"/>
            <wp:docPr descr="Рис. 17: Настройка NAT на маршрутизаторе msk-donskaya-gw-1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NAT на маршрутизаторе msk-donskaya-gw-1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Настроено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9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Полина Юрьевна Скандарова</dc:creator>
  <dc:language>ru-RU</dc:language>
  <cp:keywords/>
  <dcterms:created xsi:type="dcterms:W3CDTF">2025-05-17T16:52:31Z</dcterms:created>
  <dcterms:modified xsi:type="dcterms:W3CDTF">2025-05-17T16:52:31Z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