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color w:val="000000"/>
          <w:sz w:val="22"/>
          <w:szCs w:val="22"/>
        </w:rPr>
        <w:t xml:space="preserve"/>
      </w:r>
    </w:p>
    <w:p>
      <w:pPr>
        <w:spacing w:after="100"/>
      </w:pPr>
      <w:r>
        <w:rPr>
          <w:rFonts w:ascii="Calibri" w:cs="Calibri" w:eastAsia="Calibri" w:hAnsi="Calibri"/>
          <w:color w:val="000000"/>
          <w:sz w:val="22"/>
          <w:szCs w:val="22"/>
        </w:rPr>
        <w:t xml:space="preserve"/>
      </w:r>
    </w:p>
    <w:p>
      <w:r>
        <w:br w:type="page"/>
      </w:r>
    </w:p>
    <w:p>
      <w:pPr>
        <w:spacing w:after="40"/>
        <w:jc w:val="center"/>
      </w:pPr>
      <w:r>
        <w:rPr>
          <w:rFonts w:ascii="Calibri" w:cs="Calibri" w:eastAsia="Calibri" w:hAnsi="Calibri"/>
          <w:b/>
          <w:bCs/>
          <w:color w:val="000000"/>
          <w:sz w:val="30"/>
          <w:szCs w:val="30"/>
        </w:rPr>
        <w:t xml:space="preserve">ACME TECHNOLOGIES INDIA PRIVATE LIMITED</w:t>
      </w:r>
    </w:p>
    <w:p>
      <w:pPr>
        <w:spacing w:after="40"/>
        <w:jc w:val="center"/>
      </w:pPr>
      <w:r>
        <w:rPr>
          <w:rFonts w:ascii="Calibri" w:cs="Calibri" w:eastAsia="Calibri" w:hAnsi="Calibri"/>
          <w:color w:val="000000"/>
          <w:sz w:val="18"/>
          <w:szCs w:val="18"/>
        </w:rPr>
        <w:t xml:space="preserve">Level 7, Business Bay, Airport Road, Yerwada, Pune 411006, Maharashtra, India</w:t>
      </w:r>
    </w:p>
    <w:p>
      <w:pPr>
        <w:pBdr>
          <w:bottom w:val="single" w:color="1F3864" w:sz="8" w:space="6"/>
        </w:pBdr>
        <w:spacing w:after="240"/>
        <w:jc w:val="center"/>
      </w:pPr>
      <w:r>
        <w:rPr>
          <w:rFonts w:ascii="Calibri" w:cs="Calibri" w:eastAsia="Calibri" w:hAnsi="Calibri"/>
          <w:color w:val="000000"/>
          <w:sz w:val="18"/>
          <w:szCs w:val="18"/>
        </w:rPr>
        <w:t xml:space="preserve">CIN: U72900PN2015PTC000000  |  www.acmetech.example  |  Tel: +91 20 0000 0000</w:t>
      </w:r>
    </w:p>
    <w:p>
      <w:pPr>
        <w:spacing w:after="140"/>
      </w:pPr>
      <w:r>
        <w:rPr>
          <w:rFonts w:ascii="Calibri" w:cs="Calibri" w:eastAsia="Calibri" w:hAnsi="Calibri"/>
          <w:color w:val="000000"/>
          <w:sz w:val="22"/>
          <w:szCs w:val="22"/>
        </w:rPr>
        <w:t xml:space="preserve">Ref: </w:t>
      </w:r>
      <w:r>
        <w:rPr>
          <w:rFonts w:ascii="Calibri" w:cs="Calibri" w:eastAsia="Calibri" w:hAnsi="Calibri"/>
          <w:b/>
          <w:bCs/>
          <w:sz w:val="22"/>
          <w:szCs w:val="22"/>
        </w:rPr>
        <w:t xml:space="preserve">HR/COMP/2026/1003</w:t>
      </w:r>
    </w:p>
    <w:p>
      <w:pPr>
        <w:spacing w:after="140"/>
      </w:pPr>
      <w:r>
        <w:rPr>
          <w:rFonts w:ascii="Calibri" w:cs="Calibri" w:eastAsia="Calibri" w:hAnsi="Calibri"/>
          <w:color w:val="000000"/>
          <w:sz w:val="22"/>
          <w:szCs w:val="22"/>
        </w:rPr>
        <w:t xml:space="preserve">Date: </w:t>
      </w:r>
      <w:r>
        <w:rPr>
          <w:rFonts w:ascii="Calibri" w:cs="Calibri" w:eastAsia="Calibri" w:hAnsi="Calibri"/>
          <w:b/>
          <w:bCs/>
          <w:sz w:val="22"/>
          <w:szCs w:val="22"/>
        </w:rPr>
        <w:t xml:space="preserve">10-Aug-2026</w:t>
      </w:r>
    </w:p>
    <w:p>
      <w:pPr>
        <w:spacing w:after="100"/>
      </w:pPr>
      <w:r>
        <w:rPr>
          <w:rFonts w:ascii="Calibri" w:cs="Calibri" w:eastAsia="Calibri" w:hAnsi="Calibri"/>
          <w:color w:val="000000"/>
          <w:sz w:val="22"/>
          <w:szCs w:val="22"/>
        </w:rPr>
        <w:t xml:space="preserve"/>
      </w:r>
    </w:p>
    <w:p>
      <w:pPr>
        <w:spacing w:after="0"/>
      </w:pPr>
      <w:r>
        <w:rPr>
          <w:rFonts w:ascii="Calibri" w:cs="Calibri" w:eastAsia="Calibri" w:hAnsi="Calibri"/>
          <w:b/>
          <w:bCs/>
          <w:sz w:val="22"/>
          <w:szCs w:val="22"/>
        </w:rPr>
        <w:t xml:space="preserve">Ms.</w:t>
      </w:r>
      <w:r>
        <w:rPr>
          <w:rFonts w:ascii="Calibri" w:cs="Calibri" w:eastAsia="Calibri" w:hAnsi="Calibri"/>
          <w:color w:val="000000"/>
          <w:sz w:val="22"/>
          <w:szCs w:val="22"/>
        </w:rPr>
        <w:t xml:space="preserve"> </w:t>
      </w:r>
      <w:r>
        <w:rPr>
          <w:rFonts w:ascii="Calibri" w:cs="Calibri" w:eastAsia="Calibri" w:hAnsi="Calibri"/>
          <w:b/>
          <w:bCs/>
          <w:sz w:val="22"/>
          <w:szCs w:val="22"/>
        </w:rPr>
        <w:t xml:space="preserve">Priya</w:t>
      </w:r>
      <w:r>
        <w:rPr>
          <w:rFonts w:ascii="Calibri" w:cs="Calibri" w:eastAsia="Calibri" w:hAnsi="Calibri"/>
          <w:color w:val="000000"/>
          <w:sz w:val="22"/>
          <w:szCs w:val="22"/>
        </w:rPr>
        <w:t xml:space="preserve"> </w:t>
      </w:r>
      <w:r>
        <w:rPr>
          <w:rFonts w:ascii="Calibri" w:cs="Calibri" w:eastAsia="Calibri" w:hAnsi="Calibri"/>
          <w:b/>
          <w:bCs/>
          <w:sz w:val="22"/>
          <w:szCs w:val="22"/>
        </w:rPr>
        <w:t xml:space="preserve">Nair</w:t>
      </w:r>
    </w:p>
    <w:p>
      <w:pPr>
        <w:spacing w:after="0"/>
      </w:pPr>
      <w:r>
        <w:rPr>
          <w:rFonts w:ascii="Calibri" w:cs="Calibri" w:eastAsia="Calibri" w:hAnsi="Calibri"/>
          <w:b/>
          <w:bCs/>
          <w:sz w:val="22"/>
          <w:szCs w:val="22"/>
        </w:rPr>
        <w:t xml:space="preserve">Flat 103, Shreeji Residency</w:t>
      </w:r>
    </w:p>
    <w:p>
      <w:pPr>
        <w:spacing w:after="0"/>
      </w:pPr>
      <w:r>
        <w:rPr>
          <w:rFonts w:ascii="Calibri" w:cs="Calibri" w:eastAsia="Calibri" w:hAnsi="Calibri"/>
          <w:i/>
          <w:iCs/>
          <w:sz w:val="22"/>
          <w:szCs w:val="22"/>
        </w:rPr>
        <w:t xml:space="preserve"/>
      </w:r>
      <w:r>
        <w:rPr>
          <w:rFonts w:ascii="Calibri" w:cs="Calibri" w:eastAsia="Calibri" w:hAnsi="Calibri"/>
          <w:b/>
          <w:bCs/>
          <w:sz w:val="22"/>
          <w:szCs w:val="22"/>
        </w:rPr>
        <w:t xml:space="preserve">Near City Centre Mall</w:t>
      </w:r>
      <w:r>
        <w:rPr>
          <w:rFonts w:ascii="Calibri" w:cs="Calibri" w:eastAsia="Calibri" w:hAnsi="Calibri"/>
          <w:i/>
          <w:iCs/>
          <w:sz w:val="22"/>
          <w:szCs w:val="22"/>
        </w:rPr>
        <w:t xml:space="preserve"/>
      </w:r>
    </w:p>
    <w:p>
      <w:pPr>
        <w:spacing w:after="140"/>
      </w:pPr>
      <w:r>
        <w:rPr>
          <w:rFonts w:ascii="Calibri" w:cs="Calibri" w:eastAsia="Calibri" w:hAnsi="Calibri"/>
          <w:b/>
          <w:bCs/>
          <w:sz w:val="22"/>
          <w:szCs w:val="22"/>
        </w:rPr>
        <w:t xml:space="preserve">Bengaluru</w:t>
      </w:r>
      <w:r>
        <w:rPr>
          <w:rFonts w:ascii="Calibri" w:cs="Calibri" w:eastAsia="Calibri" w:hAnsi="Calibri"/>
          <w:color w:val="000000"/>
          <w:sz w:val="22"/>
          <w:szCs w:val="22"/>
        </w:rPr>
        <w:t xml:space="preserve">, </w:t>
      </w:r>
      <w:r>
        <w:rPr>
          <w:rFonts w:ascii="Calibri" w:cs="Calibri" w:eastAsia="Calibri" w:hAnsi="Calibri"/>
          <w:b/>
          <w:bCs/>
          <w:sz w:val="22"/>
          <w:szCs w:val="22"/>
        </w:rPr>
        <w:t xml:space="preserve">Karnataka</w:t>
      </w:r>
      <w:r>
        <w:rPr>
          <w:rFonts w:ascii="Calibri" w:cs="Calibri" w:eastAsia="Calibri" w:hAnsi="Calibri"/>
          <w:color w:val="000000"/>
          <w:sz w:val="22"/>
          <w:szCs w:val="22"/>
        </w:rPr>
        <w:t xml:space="preserve"> - </w:t>
      </w:r>
      <w:r>
        <w:rPr>
          <w:rFonts w:ascii="Calibri" w:cs="Calibri" w:eastAsia="Calibri" w:hAnsi="Calibri"/>
          <w:b/>
          <w:bCs/>
          <w:sz w:val="22"/>
          <w:szCs w:val="22"/>
        </w:rPr>
        <w:t xml:space="preserve">400004</w:t>
      </w:r>
    </w:p>
    <w:p>
      <w:pPr>
        <w:spacing w:after="100"/>
      </w:pPr>
      <w:r>
        <w:rPr>
          <w:rFonts w:ascii="Calibri" w:cs="Calibri" w:eastAsia="Calibri" w:hAnsi="Calibri"/>
          <w:color w:val="000000"/>
          <w:sz w:val="22"/>
          <w:szCs w:val="22"/>
        </w:rPr>
        <w:t xml:space="preserve"/>
      </w:r>
    </w:p>
    <w:p>
      <w:pPr>
        <w:spacing w:after="140"/>
      </w:pPr>
      <w:r>
        <w:rPr>
          <w:rFonts w:ascii="Calibri" w:cs="Calibri" w:eastAsia="Calibri" w:hAnsi="Calibri"/>
          <w:b/>
          <w:bCs/>
          <w:color w:val="000000"/>
          <w:sz w:val="22"/>
          <w:szCs w:val="22"/>
        </w:rPr>
        <w:t xml:space="preserve">Subject: Offer of Employment and Compensation Structure</w:t>
      </w:r>
    </w:p>
    <w:p>
      <w:pPr>
        <w:spacing w:after="100"/>
      </w:pPr>
      <w:r>
        <w:rPr>
          <w:rFonts w:ascii="Calibri" w:cs="Calibri" w:eastAsia="Calibri" w:hAnsi="Calibri"/>
          <w:color w:val="000000"/>
          <w:sz w:val="22"/>
          <w:szCs w:val="22"/>
        </w:rPr>
        <w:t xml:space="preserve"/>
      </w:r>
    </w:p>
    <w:p>
      <w:pPr>
        <w:spacing w:after="140"/>
      </w:pPr>
      <w:r>
        <w:rPr>
          <w:rFonts w:ascii="Calibri" w:cs="Calibri" w:eastAsia="Calibri" w:hAnsi="Calibri"/>
          <w:color w:val="000000"/>
          <w:sz w:val="22"/>
          <w:szCs w:val="22"/>
        </w:rPr>
        <w:t xml:space="preserve">Dear </w:t>
      </w:r>
      <w:r>
        <w:rPr>
          <w:rFonts w:ascii="Calibri" w:cs="Calibri" w:eastAsia="Calibri" w:hAnsi="Calibri"/>
          <w:b/>
          <w:bCs/>
          <w:sz w:val="22"/>
          <w:szCs w:val="22"/>
        </w:rPr>
        <w:t xml:space="preserve">Priya</w:t>
      </w:r>
      <w:r>
        <w:rPr>
          <w:rFonts w:ascii="Calibri" w:cs="Calibri" w:eastAsia="Calibri" w:hAnsi="Calibri"/>
          <w:color w:val="000000"/>
          <w:sz w:val="22"/>
          <w:szCs w:val="22"/>
        </w:rPr>
        <w:t xml:space="preserve">,</w:t>
      </w:r>
    </w:p>
    <w:p>
      <w:pPr>
        <w:spacing w:after="140"/>
      </w:pPr>
      <w:r>
        <w:rPr>
          <w:rFonts w:ascii="Calibri" w:cs="Calibri" w:eastAsia="Calibri" w:hAnsi="Calibri"/>
          <w:color w:val="000000"/>
          <w:sz w:val="22"/>
          <w:szCs w:val="22"/>
        </w:rPr>
        <w:t xml:space="preserve">We are pleased to offer you employment with Acme Technologies India Private Limited (the "Company") in the position of </w:t>
      </w:r>
      <w:r>
        <w:rPr>
          <w:rFonts w:ascii="Calibri" w:cs="Calibri" w:eastAsia="Calibri" w:hAnsi="Calibri"/>
          <w:b/>
          <w:bCs/>
          <w:sz w:val="22"/>
          <w:szCs w:val="22"/>
        </w:rPr>
        <w:t xml:space="preserve">Senior Data Scientist</w:t>
      </w:r>
      <w:r>
        <w:rPr>
          <w:rFonts w:ascii="Calibri" w:cs="Calibri" w:eastAsia="Calibri" w:hAnsi="Calibri"/>
          <w:color w:val="000000"/>
          <w:sz w:val="22"/>
          <w:szCs w:val="22"/>
        </w:rPr>
        <w:t xml:space="preserve">, grade </w:t>
      </w:r>
      <w:r>
        <w:rPr>
          <w:rFonts w:ascii="Calibri" w:cs="Calibri" w:eastAsia="Calibri" w:hAnsi="Calibri"/>
          <w:b/>
          <w:bCs/>
          <w:sz w:val="22"/>
          <w:szCs w:val="22"/>
        </w:rPr>
        <w:t xml:space="preserve">Band 7</w:t>
      </w:r>
      <w:r>
        <w:rPr>
          <w:rFonts w:ascii="Calibri" w:cs="Calibri" w:eastAsia="Calibri" w:hAnsi="Calibri"/>
          <w:color w:val="000000"/>
          <w:sz w:val="22"/>
          <w:szCs w:val="22"/>
        </w:rPr>
        <w:t xml:space="preserve">, in the </w:t>
      </w:r>
      <w:r>
        <w:rPr>
          <w:rFonts w:ascii="Calibri" w:cs="Calibri" w:eastAsia="Calibri" w:hAnsi="Calibri"/>
          <w:b/>
          <w:bCs/>
          <w:sz w:val="22"/>
          <w:szCs w:val="22"/>
        </w:rPr>
        <w:t xml:space="preserve">Data &amp; AI</w:t>
      </w:r>
      <w:r>
        <w:rPr>
          <w:rFonts w:ascii="Calibri" w:cs="Calibri" w:eastAsia="Calibri" w:hAnsi="Calibri"/>
          <w:color w:val="000000"/>
          <w:sz w:val="22"/>
          <w:szCs w:val="22"/>
        </w:rPr>
        <w:t xml:space="preserve"> function, based at our </w:t>
      </w:r>
      <w:r>
        <w:rPr>
          <w:rFonts w:ascii="Calibri" w:cs="Calibri" w:eastAsia="Calibri" w:hAnsi="Calibri"/>
          <w:b/>
          <w:bCs/>
          <w:sz w:val="22"/>
          <w:szCs w:val="22"/>
        </w:rPr>
        <w:t xml:space="preserve">Bengaluru</w:t>
      </w:r>
      <w:r>
        <w:rPr>
          <w:rFonts w:ascii="Calibri" w:cs="Calibri" w:eastAsia="Calibri" w:hAnsi="Calibri"/>
          <w:color w:val="000000"/>
          <w:sz w:val="22"/>
          <w:szCs w:val="22"/>
        </w:rPr>
        <w:t xml:space="preserve"> office. Your employment is on a </w:t>
      </w:r>
      <w:r>
        <w:rPr>
          <w:rFonts w:ascii="Calibri" w:cs="Calibri" w:eastAsia="Calibri" w:hAnsi="Calibri"/>
          <w:b/>
          <w:bCs/>
          <w:sz w:val="22"/>
          <w:szCs w:val="22"/>
        </w:rPr>
        <w:t xml:space="preserve">Permanent</w:t>
      </w:r>
      <w:r>
        <w:rPr>
          <w:rFonts w:ascii="Calibri" w:cs="Calibri" w:eastAsia="Calibri" w:hAnsi="Calibri"/>
          <w:color w:val="000000"/>
          <w:sz w:val="22"/>
          <w:szCs w:val="22"/>
        </w:rPr>
        <w:t xml:space="preserve"> basis and you will report to </w:t>
      </w:r>
      <w:r>
        <w:rPr>
          <w:rFonts w:ascii="Calibri" w:cs="Calibri" w:eastAsia="Calibri" w:hAnsi="Calibri"/>
          <w:b/>
          <w:bCs/>
          <w:sz w:val="22"/>
          <w:szCs w:val="22"/>
        </w:rPr>
        <w:t xml:space="preserve">Vikram Rao</w:t>
      </w:r>
      <w:r>
        <w:rPr>
          <w:rFonts w:ascii="Calibri" w:cs="Calibri" w:eastAsia="Calibri" w:hAnsi="Calibri"/>
          <w:color w:val="000000"/>
          <w:sz w:val="22"/>
          <w:szCs w:val="22"/>
        </w:rPr>
        <w:t xml:space="preserve">, or to such other person as the Company may designate from time to time.</w:t>
      </w:r>
    </w:p>
    <w:p>
      <w:pPr>
        <w:spacing w:after="140"/>
      </w:pPr>
      <w:r>
        <w:rPr>
          <w:rFonts w:ascii="Calibri" w:cs="Calibri" w:eastAsia="Calibri" w:hAnsi="Calibri"/>
          <w:color w:val="000000"/>
          <w:sz w:val="22"/>
          <w:szCs w:val="22"/>
        </w:rPr>
        <w:t xml:space="preserve">Your date of joining is </w:t>
      </w:r>
      <w:r>
        <w:rPr>
          <w:rFonts w:ascii="Calibri" w:cs="Calibri" w:eastAsia="Calibri" w:hAnsi="Calibri"/>
          <w:b/>
          <w:bCs/>
          <w:sz w:val="22"/>
          <w:szCs w:val="22"/>
        </w:rPr>
        <w:t xml:space="preserve">01-Sep-2026</w:t>
      </w:r>
      <w:r>
        <w:rPr>
          <w:rFonts w:ascii="Calibri" w:cs="Calibri" w:eastAsia="Calibri" w:hAnsi="Calibri"/>
          <w:color w:val="000000"/>
          <w:sz w:val="22"/>
          <w:szCs w:val="22"/>
        </w:rPr>
        <w:t xml:space="preserve">. This offer is valid for fourteen (14) days from the date of this letter and lapses thereafter unless extended in writing by the Company.</w:t>
      </w:r>
    </w:p>
    <w:p>
      <w:pPr>
        <w:spacing w:after="140" w:before="200"/>
      </w:pPr>
      <w:r>
        <w:rPr>
          <w:rFonts w:ascii="Calibri" w:cs="Calibri" w:eastAsia="Calibri" w:hAnsi="Calibri"/>
          <w:b/>
          <w:bCs/>
          <w:color w:val="000000"/>
          <w:sz w:val="24"/>
          <w:szCs w:val="24"/>
        </w:rPr>
        <w:t xml:space="preserve">1. Compensation</w:t>
      </w:r>
    </w:p>
    <w:p>
      <w:pPr>
        <w:spacing w:after="140"/>
      </w:pPr>
      <w:r>
        <w:rPr>
          <w:rFonts w:ascii="Calibri" w:cs="Calibri" w:eastAsia="Calibri" w:hAnsi="Calibri"/>
          <w:color w:val="000000"/>
          <w:sz w:val="22"/>
          <w:szCs w:val="22"/>
        </w:rPr>
        <w:t xml:space="preserve">Your total annual cost to company (CTC) is </w:t>
      </w:r>
      <w:r>
        <w:rPr>
          <w:rFonts w:ascii="Calibri" w:cs="Calibri" w:eastAsia="Calibri" w:hAnsi="Calibri"/>
          <w:b/>
          <w:bCs/>
          <w:sz w:val="22"/>
          <w:szCs w:val="22"/>
        </w:rPr>
        <w:t xml:space="preserve">INR</w:t>
      </w:r>
      <w:r>
        <w:rPr>
          <w:rFonts w:ascii="Calibri" w:cs="Calibri" w:eastAsia="Calibri" w:hAnsi="Calibri"/>
          <w:color w:val="000000"/>
          <w:sz w:val="22"/>
          <w:szCs w:val="22"/>
        </w:rPr>
        <w:t xml:space="preserve"> </w:t>
      </w:r>
      <w:r>
        <w:rPr>
          <w:rFonts w:ascii="Calibri" w:cs="Calibri" w:eastAsia="Calibri" w:hAnsi="Calibri"/>
          <w:b/>
          <w:bCs/>
          <w:sz w:val="22"/>
          <w:szCs w:val="22"/>
        </w:rPr>
        <w:t xml:space="preserve">24,00,000.00</w:t>
      </w:r>
      <w:r>
        <w:rPr>
          <w:rFonts w:ascii="Calibri" w:cs="Calibri" w:eastAsia="Calibri" w:hAnsi="Calibri"/>
          <w:color w:val="000000"/>
          <w:sz w:val="22"/>
          <w:szCs w:val="22"/>
        </w:rPr>
        <w:t xml:space="preserve"> per annum, of which </w:t>
      </w:r>
      <w:r>
        <w:rPr>
          <w:rFonts w:ascii="Calibri" w:cs="Calibri" w:eastAsia="Calibri" w:hAnsi="Calibri"/>
          <w:b/>
          <w:bCs/>
          <w:sz w:val="22"/>
          <w:szCs w:val="22"/>
        </w:rPr>
        <w:t xml:space="preserve">INR</w:t>
      </w:r>
      <w:r>
        <w:rPr>
          <w:rFonts w:ascii="Calibri" w:cs="Calibri" w:eastAsia="Calibri" w:hAnsi="Calibri"/>
          <w:color w:val="000000"/>
          <w:sz w:val="22"/>
          <w:szCs w:val="22"/>
        </w:rPr>
        <w:t xml:space="preserve"> </w:t>
      </w:r>
      <w:r>
        <w:rPr>
          <w:rFonts w:ascii="Calibri" w:cs="Calibri" w:eastAsia="Calibri" w:hAnsi="Calibri"/>
          <w:b/>
          <w:bCs/>
          <w:sz w:val="22"/>
          <w:szCs w:val="22"/>
        </w:rPr>
        <w:t xml:space="preserve">21,60,000.00</w:t>
      </w:r>
      <w:r>
        <w:rPr>
          <w:rFonts w:ascii="Calibri" w:cs="Calibri" w:eastAsia="Calibri" w:hAnsi="Calibri"/>
          <w:color w:val="000000"/>
          <w:sz w:val="22"/>
          <w:szCs w:val="22"/>
        </w:rPr>
        <w:t xml:space="preserve"> is fixed pay. The component-wise break-up is set out in Annexure A. Your approximate monthly gross, before statutory deductions, is </w:t>
      </w:r>
      <w:r>
        <w:rPr>
          <w:rFonts w:ascii="Calibri" w:cs="Calibri" w:eastAsia="Calibri" w:hAnsi="Calibri"/>
          <w:b/>
          <w:bCs/>
          <w:sz w:val="22"/>
          <w:szCs w:val="22"/>
        </w:rPr>
        <w:t xml:space="preserve">INR</w:t>
      </w:r>
      <w:r>
        <w:rPr>
          <w:rFonts w:ascii="Calibri" w:cs="Calibri" w:eastAsia="Calibri" w:hAnsi="Calibri"/>
          <w:color w:val="000000"/>
          <w:sz w:val="22"/>
          <w:szCs w:val="22"/>
        </w:rPr>
        <w:t xml:space="preserve"> </w:t>
      </w:r>
      <w:r>
        <w:rPr>
          <w:rFonts w:ascii="Calibri" w:cs="Calibri" w:eastAsia="Calibri" w:hAnsi="Calibri"/>
          <w:b/>
          <w:bCs/>
          <w:sz w:val="22"/>
          <w:szCs w:val="22"/>
        </w:rPr>
        <w:t xml:space="preserve">1,67,897.00</w:t>
      </w:r>
      <w:r>
        <w:rPr>
          <w:rFonts w:ascii="Calibri" w:cs="Calibri" w:eastAsia="Calibri" w:hAnsi="Calibri"/>
          <w:color w:val="000000"/>
          <w:sz w:val="22"/>
          <w:szCs w:val="22"/>
        </w:rPr>
        <w:t xml:space="preserve">.</w:t>
      </w:r>
    </w:p>
    <w:p>
      <w:pPr>
        <w:spacing w:after="140"/>
      </w:pPr>
      <w:r>
        <w:rPr>
          <w:rFonts w:ascii="Calibri" w:cs="Calibri" w:eastAsia="Calibri" w:hAnsi="Calibri"/>
          <w:color w:val="000000"/>
          <w:sz w:val="22"/>
          <w:szCs w:val="22"/>
        </w:rPr>
        <w:t xml:space="preserve">Salary is credited on or before the last working day of each calendar month, subject to deduction of income tax at source, provident fund contributions, professional tax and any other statutory deductions applicable at your work location.</w:t>
      </w:r>
    </w:p>
    <w:p>
      <w:pPr>
        <w:spacing w:after="140" w:before="200"/>
      </w:pPr>
      <w:r>
        <w:rPr>
          <w:rFonts w:ascii="Calibri" w:cs="Calibri" w:eastAsia="Calibri" w:hAnsi="Calibri"/>
          <w:b/>
          <w:bCs/>
          <w:color w:val="000000"/>
          <w:sz w:val="24"/>
          <w:szCs w:val="24"/>
        </w:rPr>
        <w:t xml:space="preserve">2. Variable Pay</w:t>
      </w:r>
    </w:p>
    <w:p>
      <w:pPr>
        <w:spacing w:after="140"/>
      </w:pPr>
      <w:r>
        <w:rPr>
          <w:rFonts w:ascii="Calibri" w:cs="Calibri" w:eastAsia="Calibri" w:hAnsi="Calibri"/>
          <w:color w:val="000000"/>
          <w:sz w:val="22"/>
          <w:szCs w:val="22"/>
        </w:rPr>
        <w:t xml:space="preserve">In addition to your fixed pay, you are eligible for a performance-linked variable component of </w:t>
      </w:r>
      <w:r>
        <w:rPr>
          <w:rFonts w:ascii="Calibri" w:cs="Calibri" w:eastAsia="Calibri" w:hAnsi="Calibri"/>
          <w:b/>
          <w:bCs/>
          <w:sz w:val="22"/>
          <w:szCs w:val="22"/>
        </w:rPr>
        <w:t xml:space="preserve">10%</w:t>
      </w:r>
      <w:r>
        <w:rPr>
          <w:rFonts w:ascii="Calibri" w:cs="Calibri" w:eastAsia="Calibri" w:hAnsi="Calibri"/>
          <w:color w:val="000000"/>
          <w:sz w:val="22"/>
          <w:szCs w:val="22"/>
        </w:rPr>
        <w:t xml:space="preserve"> of CTC, being </w:t>
      </w:r>
      <w:r>
        <w:rPr>
          <w:rFonts w:ascii="Calibri" w:cs="Calibri" w:eastAsia="Calibri" w:hAnsi="Calibri"/>
          <w:b/>
          <w:bCs/>
          <w:sz w:val="22"/>
          <w:szCs w:val="22"/>
        </w:rPr>
        <w:t xml:space="preserve">INR</w:t>
      </w:r>
      <w:r>
        <w:rPr>
          <w:rFonts w:ascii="Calibri" w:cs="Calibri" w:eastAsia="Calibri" w:hAnsi="Calibri"/>
          <w:color w:val="000000"/>
          <w:sz w:val="22"/>
          <w:szCs w:val="22"/>
        </w:rPr>
        <w:t xml:space="preserve"> </w:t>
      </w:r>
      <w:r>
        <w:rPr>
          <w:rFonts w:ascii="Calibri" w:cs="Calibri" w:eastAsia="Calibri" w:hAnsi="Calibri"/>
          <w:b/>
          <w:bCs/>
          <w:sz w:val="22"/>
          <w:szCs w:val="22"/>
        </w:rPr>
        <w:t xml:space="preserve">2,40,000.00</w:t>
      </w:r>
      <w:r>
        <w:rPr>
          <w:rFonts w:ascii="Calibri" w:cs="Calibri" w:eastAsia="Calibri" w:hAnsi="Calibri"/>
          <w:color w:val="000000"/>
          <w:sz w:val="22"/>
          <w:szCs w:val="22"/>
        </w:rPr>
        <w:t xml:space="preserve"> at 100% achievement. Payout is discretionary, linked to Company, business unit and individual performance, and is paid annually in arrears. You must be on the rolls and not serving notice on the payout date to be eligible. Variable pay in your first year is pro-rated from your date of joining.</w:t>
      </w:r>
    </w:p>
    <w:p>
      <w:pPr>
        <w:spacing w:after="140" w:before="200"/>
      </w:pPr>
      <w:r>
        <w:rPr>
          <w:rFonts w:ascii="Calibri" w:cs="Calibri" w:eastAsia="Calibri" w:hAnsi="Calibri"/>
          <w:b/>
          <w:bCs/>
          <w:color w:val="000000"/>
          <w:sz w:val="24"/>
          <w:szCs w:val="24"/>
        </w:rPr>
        <w:t xml:space="preserve">3. Bonuses and Long-Term Incentives</w:t>
      </w:r>
    </w:p>
    <w:p>
      <w:pPr>
        <w:spacing w:after="140"/>
      </w:pPr>
      <w:r>
        <w:rPr>
          <w:rFonts w:ascii="Calibri" w:cs="Calibri" w:eastAsia="Calibri" w:hAnsi="Calibri"/>
          <w:color w:val="000000"/>
          <w:sz w:val="22"/>
          <w:szCs w:val="22"/>
        </w:rPr>
        <w:t xml:space="preserve">Joining bonus: </w:t>
      </w:r>
      <w:r>
        <w:rPr>
          <w:rFonts w:ascii="Calibri" w:cs="Calibri" w:eastAsia="Calibri" w:hAnsi="Calibri"/>
          <w:color w:val="000000"/>
          <w:sz w:val="22"/>
          <w:szCs w:val="22"/>
        </w:rPr>
        <w:t xml:space="preserve">You will receive a one-time joining bonus of </w:t>
      </w:r>
      <w:r>
        <w:rPr>
          <w:rFonts w:ascii="Calibri" w:cs="Calibri" w:eastAsia="Calibri" w:hAnsi="Calibri"/>
          <w:b/>
          <w:bCs/>
          <w:sz w:val="22"/>
          <w:szCs w:val="22"/>
        </w:rPr>
        <w:t xml:space="preserve">INR</w:t>
      </w:r>
      <w:r>
        <w:rPr>
          <w:rFonts w:ascii="Calibri" w:cs="Calibri" w:eastAsia="Calibri" w:hAnsi="Calibri"/>
          <w:color w:val="000000"/>
          <w:sz w:val="22"/>
          <w:szCs w:val="22"/>
        </w:rPr>
        <w:t xml:space="preserve"> </w:t>
      </w:r>
      <w:r>
        <w:rPr>
          <w:rFonts w:ascii="Calibri" w:cs="Calibri" w:eastAsia="Calibri" w:hAnsi="Calibri"/>
          <w:b/>
          <w:bCs/>
          <w:sz w:val="22"/>
          <w:szCs w:val="22"/>
        </w:rPr>
        <w:t xml:space="preserve">2,50,000.00</w:t>
      </w:r>
      <w:r>
        <w:rPr>
          <w:rFonts w:ascii="Calibri" w:cs="Calibri" w:eastAsia="Calibri" w:hAnsi="Calibri"/>
          <w:color w:val="000000"/>
          <w:sz w:val="22"/>
          <w:szCs w:val="22"/>
        </w:rPr>
        <w:t xml:space="preserve">, payable with your first full month's salary. This amount is fully refundable to the Company on a pro-rata basis if you resign or your employment is terminated for cause within </w:t>
      </w:r>
      <w:r>
        <w:rPr>
          <w:rFonts w:ascii="Calibri" w:cs="Calibri" w:eastAsia="Calibri" w:hAnsi="Calibri"/>
          <w:b/>
          <w:bCs/>
          <w:sz w:val="22"/>
          <w:szCs w:val="22"/>
        </w:rPr>
        <w:t xml:space="preserve">12</w:t>
      </w:r>
      <w:r>
        <w:rPr>
          <w:rFonts w:ascii="Calibri" w:cs="Calibri" w:eastAsia="Calibri" w:hAnsi="Calibri"/>
          <w:color w:val="000000"/>
          <w:sz w:val="22"/>
          <w:szCs w:val="22"/>
        </w:rPr>
        <w:t xml:space="preserve"> months of your date of joining.</w:t>
      </w:r>
    </w:p>
    <w:p>
      <w:pPr>
        <w:spacing w:after="140"/>
      </w:pPr>
      <w:r>
        <w:rPr>
          <w:rFonts w:ascii="Calibri" w:cs="Calibri" w:eastAsia="Calibri" w:hAnsi="Calibri"/>
          <w:color w:val="000000"/>
          <w:sz w:val="22"/>
          <w:szCs w:val="22"/>
        </w:rPr>
        <w:t xml:space="preserve">Retention bonus: </w:t>
      </w:r>
      <w:r>
        <w:rPr>
          <w:rFonts w:ascii="Calibri" w:cs="Calibri" w:eastAsia="Calibri" w:hAnsi="Calibri"/>
          <w:color w:val="000000"/>
          <w:sz w:val="22"/>
          <w:szCs w:val="22"/>
        </w:rPr>
        <w:t xml:space="preserve">A retention bonus of </w:t>
      </w:r>
      <w:r>
        <w:rPr>
          <w:rFonts w:ascii="Calibri" w:cs="Calibri" w:eastAsia="Calibri" w:hAnsi="Calibri"/>
          <w:b/>
          <w:bCs/>
          <w:sz w:val="22"/>
          <w:szCs w:val="22"/>
        </w:rPr>
        <w:t xml:space="preserve">INR</w:t>
      </w:r>
      <w:r>
        <w:rPr>
          <w:rFonts w:ascii="Calibri" w:cs="Calibri" w:eastAsia="Calibri" w:hAnsi="Calibri"/>
          <w:color w:val="000000"/>
          <w:sz w:val="22"/>
          <w:szCs w:val="22"/>
        </w:rPr>
        <w:t xml:space="preserve"> </w:t>
      </w:r>
      <w:r>
        <w:rPr>
          <w:rFonts w:ascii="Calibri" w:cs="Calibri" w:eastAsia="Calibri" w:hAnsi="Calibri"/>
          <w:b/>
          <w:bCs/>
          <w:sz w:val="22"/>
          <w:szCs w:val="22"/>
        </w:rPr>
        <w:t xml:space="preserve">3,00,000.00</w:t>
      </w:r>
      <w:r>
        <w:rPr>
          <w:rFonts w:ascii="Calibri" w:cs="Calibri" w:eastAsia="Calibri" w:hAnsi="Calibri"/>
          <w:color w:val="000000"/>
          <w:sz w:val="22"/>
          <w:szCs w:val="22"/>
        </w:rPr>
        <w:t xml:space="preserve"> is payable on completion of </w:t>
      </w:r>
      <w:r>
        <w:rPr>
          <w:rFonts w:ascii="Calibri" w:cs="Calibri" w:eastAsia="Calibri" w:hAnsi="Calibri"/>
          <w:b/>
          <w:bCs/>
          <w:sz w:val="22"/>
          <w:szCs w:val="22"/>
        </w:rPr>
        <w:t xml:space="preserve">18</w:t>
      </w:r>
      <w:r>
        <w:rPr>
          <w:rFonts w:ascii="Calibri" w:cs="Calibri" w:eastAsia="Calibri" w:hAnsi="Calibri"/>
          <w:color w:val="000000"/>
          <w:sz w:val="22"/>
          <w:szCs w:val="22"/>
        </w:rPr>
        <w:t xml:space="preserve"> months of continuous service from your date of joining. It is not part of CTC and is forfeited in full if you separate before that date.</w:t>
      </w:r>
    </w:p>
    <w:p>
      <w:pPr>
        <w:spacing w:after="140"/>
      </w:pPr>
      <w:r>
        <w:rPr>
          <w:rFonts w:ascii="Calibri" w:cs="Calibri" w:eastAsia="Calibri" w:hAnsi="Calibri"/>
          <w:color w:val="000000"/>
          <w:sz w:val="22"/>
          <w:szCs w:val="22"/>
        </w:rPr>
        <w:t xml:space="preserve">Stock units: </w:t>
      </w:r>
      <w:r>
        <w:rPr>
          <w:rFonts w:ascii="Calibri" w:cs="Calibri" w:eastAsia="Calibri" w:hAnsi="Calibri"/>
          <w:color w:val="000000"/>
          <w:sz w:val="22"/>
          <w:szCs w:val="22"/>
        </w:rPr>
        <w:t xml:space="preserve">Subject to approval by the Board or its Nomination and Remuneration Committee, you will be granted </w:t>
      </w:r>
      <w:r>
        <w:rPr>
          <w:rFonts w:ascii="Calibri" w:cs="Calibri" w:eastAsia="Calibri" w:hAnsi="Calibri"/>
          <w:b/>
          <w:bCs/>
          <w:sz w:val="22"/>
          <w:szCs w:val="22"/>
        </w:rPr>
        <w:t xml:space="preserve">400</w:t>
      </w:r>
      <w:r>
        <w:rPr>
          <w:rFonts w:ascii="Calibri" w:cs="Calibri" w:eastAsia="Calibri" w:hAnsi="Calibri"/>
          <w:color w:val="000000"/>
          <w:sz w:val="22"/>
          <w:szCs w:val="22"/>
        </w:rPr>
        <w:t xml:space="preserve"> restricted stock units under the Company's Employee Stock Option Plan, vesting equally over </w:t>
      </w:r>
      <w:r>
        <w:rPr>
          <w:rFonts w:ascii="Calibri" w:cs="Calibri" w:eastAsia="Calibri" w:hAnsi="Calibri"/>
          <w:b/>
          <w:bCs/>
          <w:sz w:val="22"/>
          <w:szCs w:val="22"/>
        </w:rPr>
        <w:t xml:space="preserve">4</w:t>
      </w:r>
      <w:r>
        <w:rPr>
          <w:rFonts w:ascii="Calibri" w:cs="Calibri" w:eastAsia="Calibri" w:hAnsi="Calibri"/>
          <w:color w:val="000000"/>
          <w:sz w:val="22"/>
          <w:szCs w:val="22"/>
        </w:rPr>
        <w:t xml:space="preserve"> years from the grant date. The grant is governed solely by the Plan documents and the individual grant agreement.</w:t>
      </w:r>
    </w:p>
    <w:p>
      <w:pPr>
        <w:spacing w:after="140" w:before="200"/>
      </w:pPr>
      <w:r>
        <w:rPr>
          <w:rFonts w:ascii="Calibri" w:cs="Calibri" w:eastAsia="Calibri" w:hAnsi="Calibri"/>
          <w:b/>
          <w:bCs/>
          <w:color w:val="000000"/>
          <w:sz w:val="24"/>
          <w:szCs w:val="24"/>
        </w:rPr>
        <w:t xml:space="preserve">4. Allowances and Benefits</w:t>
      </w:r>
    </w:p>
    <w:p>
      <w:pPr>
        <w:spacing w:after="140"/>
      </w:pPr>
      <w:r>
        <w:rPr>
          <w:rFonts w:ascii="Calibri" w:cs="Calibri" w:eastAsia="Calibri" w:hAnsi="Calibri"/>
          <w:color w:val="000000"/>
          <w:sz w:val="22"/>
          <w:szCs w:val="22"/>
        </w:rPr>
        <w:t xml:space="preserve">Relocation assistance of </w:t>
      </w:r>
      <w:r>
        <w:rPr>
          <w:rFonts w:ascii="Calibri" w:cs="Calibri" w:eastAsia="Calibri" w:hAnsi="Calibri"/>
          <w:b/>
          <w:bCs/>
          <w:sz w:val="22"/>
          <w:szCs w:val="22"/>
        </w:rPr>
        <w:t xml:space="preserve">INR</w:t>
      </w:r>
      <w:r>
        <w:rPr>
          <w:rFonts w:ascii="Calibri" w:cs="Calibri" w:eastAsia="Calibri" w:hAnsi="Calibri"/>
          <w:color w:val="000000"/>
          <w:sz w:val="22"/>
          <w:szCs w:val="22"/>
        </w:rPr>
        <w:t xml:space="preserve"> </w:t>
      </w:r>
      <w:r>
        <w:rPr>
          <w:rFonts w:ascii="Calibri" w:cs="Calibri" w:eastAsia="Calibri" w:hAnsi="Calibri"/>
          <w:b/>
          <w:bCs/>
          <w:sz w:val="22"/>
          <w:szCs w:val="22"/>
        </w:rPr>
        <w:t xml:space="preserve">1,50,000.00</w:t>
      </w:r>
      <w:r>
        <w:rPr>
          <w:rFonts w:ascii="Calibri" w:cs="Calibri" w:eastAsia="Calibri" w:hAnsi="Calibri"/>
          <w:color w:val="000000"/>
          <w:sz w:val="22"/>
          <w:szCs w:val="22"/>
        </w:rPr>
        <w:t xml:space="preserve"> is payable against original receipts submitted within sixty (60) days of joining, in line with the Company's relocation policy.</w:t>
      </w:r>
    </w:p>
    <w:p>
      <w:pPr>
        <w:spacing w:after="140"/>
      </w:pPr>
      <w:r>
        <w:rPr>
          <w:rFonts w:ascii="Calibri" w:cs="Calibri" w:eastAsia="Calibri" w:hAnsi="Calibri"/>
          <w:color w:val="000000"/>
          <w:sz w:val="22"/>
          <w:szCs w:val="22"/>
        </w:rPr>
        <w:t xml:space="preserve">You and your dependants covered under the </w:t>
      </w:r>
      <w:r>
        <w:rPr>
          <w:rFonts w:ascii="Calibri" w:cs="Calibri" w:eastAsia="Calibri" w:hAnsi="Calibri"/>
          <w:b/>
          <w:bCs/>
          <w:sz w:val="22"/>
          <w:szCs w:val="22"/>
        </w:rPr>
        <w:t xml:space="preserve">Floater Family</w:t>
      </w:r>
      <w:r>
        <w:rPr>
          <w:rFonts w:ascii="Calibri" w:cs="Calibri" w:eastAsia="Calibri" w:hAnsi="Calibri"/>
          <w:color w:val="000000"/>
          <w:sz w:val="22"/>
          <w:szCs w:val="22"/>
        </w:rPr>
        <w:t xml:space="preserve"> plan are insured for </w:t>
      </w:r>
      <w:r>
        <w:rPr>
          <w:rFonts w:ascii="Calibri" w:cs="Calibri" w:eastAsia="Calibri" w:hAnsi="Calibri"/>
          <w:b/>
          <w:bCs/>
          <w:sz w:val="22"/>
          <w:szCs w:val="22"/>
        </w:rPr>
        <w:t xml:space="preserve">INR</w:t>
      </w:r>
      <w:r>
        <w:rPr>
          <w:rFonts w:ascii="Calibri" w:cs="Calibri" w:eastAsia="Calibri" w:hAnsi="Calibri"/>
          <w:color w:val="000000"/>
          <w:sz w:val="22"/>
          <w:szCs w:val="22"/>
        </w:rPr>
        <w:t xml:space="preserve"> </w:t>
      </w:r>
      <w:r>
        <w:rPr>
          <w:rFonts w:ascii="Calibri" w:cs="Calibri" w:eastAsia="Calibri" w:hAnsi="Calibri"/>
          <w:b/>
          <w:bCs/>
          <w:sz w:val="22"/>
          <w:szCs w:val="22"/>
        </w:rPr>
        <w:t xml:space="preserve">10,00,000.00</w:t>
      </w:r>
      <w:r>
        <w:rPr>
          <w:rFonts w:ascii="Calibri" w:cs="Calibri" w:eastAsia="Calibri" w:hAnsi="Calibri"/>
          <w:color w:val="000000"/>
          <w:sz w:val="22"/>
          <w:szCs w:val="22"/>
        </w:rPr>
        <w:t xml:space="preserve"> under the Company's group medical policy, along with group term life and personal accident cover, subject to the terms of the master policies as amended from time to time.</w:t>
      </w:r>
    </w:p>
    <w:p>
      <w:pPr>
        <w:spacing w:after="140" w:before="200"/>
      </w:pPr>
      <w:r>
        <w:rPr>
          <w:rFonts w:ascii="Calibri" w:cs="Calibri" w:eastAsia="Calibri" w:hAnsi="Calibri"/>
          <w:b/>
          <w:bCs/>
          <w:color w:val="000000"/>
          <w:sz w:val="24"/>
          <w:szCs w:val="24"/>
        </w:rPr>
        <w:t xml:space="preserve">5. Probation, Confirmation and Notice</w:t>
      </w:r>
    </w:p>
    <w:p>
      <w:pPr>
        <w:spacing w:after="140"/>
      </w:pPr>
      <w:r>
        <w:rPr>
          <w:rFonts w:ascii="Calibri" w:cs="Calibri" w:eastAsia="Calibri" w:hAnsi="Calibri"/>
          <w:color w:val="000000"/>
          <w:sz w:val="22"/>
          <w:szCs w:val="22"/>
        </w:rPr>
        <w:t xml:space="preserve">You will be on probation for </w:t>
      </w:r>
      <w:r>
        <w:rPr>
          <w:rFonts w:ascii="Calibri" w:cs="Calibri" w:eastAsia="Calibri" w:hAnsi="Calibri"/>
          <w:b/>
          <w:bCs/>
          <w:sz w:val="22"/>
          <w:szCs w:val="22"/>
        </w:rPr>
        <w:t xml:space="preserve">3</w:t>
      </w:r>
      <w:r>
        <w:rPr>
          <w:rFonts w:ascii="Calibri" w:cs="Calibri" w:eastAsia="Calibri" w:hAnsi="Calibri"/>
          <w:color w:val="000000"/>
          <w:sz w:val="22"/>
          <w:szCs w:val="22"/>
        </w:rPr>
        <w:t xml:space="preserve"> months from your date of joining. Confirmation in writing follows satisfactory completion; the Company may extend probation at its discretion. During probation either party may terminate this engagement on seven (7) days' written notice.</w:t>
      </w:r>
    </w:p>
    <w:p>
      <w:pPr>
        <w:spacing w:after="140"/>
      </w:pPr>
      <w:r>
        <w:rPr>
          <w:rFonts w:ascii="Calibri" w:cs="Calibri" w:eastAsia="Calibri" w:hAnsi="Calibri"/>
          <w:color w:val="000000"/>
          <w:sz w:val="22"/>
          <w:szCs w:val="22"/>
        </w:rPr>
        <w:t xml:space="preserve">After confirmation, either party may terminate employment by giving </w:t>
      </w:r>
      <w:r>
        <w:rPr>
          <w:rFonts w:ascii="Calibri" w:cs="Calibri" w:eastAsia="Calibri" w:hAnsi="Calibri"/>
          <w:b/>
          <w:bCs/>
          <w:sz w:val="22"/>
          <w:szCs w:val="22"/>
        </w:rPr>
        <w:t xml:space="preserve">90</w:t>
      </w:r>
      <w:r>
        <w:rPr>
          <w:rFonts w:ascii="Calibri" w:cs="Calibri" w:eastAsia="Calibri" w:hAnsi="Calibri"/>
          <w:color w:val="000000"/>
          <w:sz w:val="22"/>
          <w:szCs w:val="22"/>
        </w:rPr>
        <w:t xml:space="preserve"> days' written notice or salary in lieu thereof, except in the case of termination for misconduct, where no notice or payment in lieu is due.</w:t>
      </w:r>
    </w:p>
    <w:p>
      <w:pPr>
        <w:spacing w:after="140" w:before="200"/>
      </w:pPr>
      <w:r>
        <w:rPr>
          <w:rFonts w:ascii="Calibri" w:cs="Calibri" w:eastAsia="Calibri" w:hAnsi="Calibri"/>
          <w:b/>
          <w:bCs/>
          <w:color w:val="000000"/>
          <w:sz w:val="24"/>
          <w:szCs w:val="24"/>
        </w:rPr>
        <w:t xml:space="preserve">6. General Conditions</w:t>
      </w:r>
    </w:p>
    <w:p>
      <w:pPr>
        <w:spacing w:after="140"/>
      </w:pPr>
      <w:r>
        <w:rPr>
          <w:rFonts w:ascii="Calibri" w:cs="Calibri" w:eastAsia="Calibri" w:hAnsi="Calibri"/>
          <w:color w:val="000000"/>
          <w:sz w:val="22"/>
          <w:szCs w:val="22"/>
        </w:rPr>
        <w:t xml:space="preserve">This offer is contingent on satisfactory completion of background verification, receipt of your relieving letter from your previous employer, verification of educational and employment records, and your being medically fit for the role. The Company may withdraw this offer at any stage if any information furnished by you is found to be incorrect or incomplete.</w:t>
      </w:r>
    </w:p>
    <w:p>
      <w:pPr>
        <w:spacing w:after="140"/>
      </w:pPr>
      <w:r>
        <w:rPr>
          <w:rFonts w:ascii="Calibri" w:cs="Calibri" w:eastAsia="Calibri" w:hAnsi="Calibri"/>
          <w:color w:val="000000"/>
          <w:sz w:val="22"/>
          <w:szCs w:val="22"/>
        </w:rPr>
        <w:t xml:space="preserve">Your compensation is personal and confidential. Disclosing it to any colleague or third party, other than as required by law, is treated as a breach of the Company's Code of Conduct. Your employment is further governed by the Company's policies as published on the intranet and amended from time to time.</w:t>
      </w:r>
    </w:p>
    <w:p>
      <w:r>
        <w:br w:type="page"/>
      </w:r>
    </w:p>
    <w:p>
      <w:pPr>
        <w:spacing w:after="60"/>
        <w:jc w:val="center"/>
      </w:pPr>
      <w:r>
        <w:rPr>
          <w:rFonts w:ascii="Calibri" w:cs="Calibri" w:eastAsia="Calibri" w:hAnsi="Calibri"/>
          <w:b/>
          <w:bCs/>
          <w:color w:val="000000"/>
          <w:sz w:val="26"/>
          <w:szCs w:val="26"/>
        </w:rPr>
        <w:t xml:space="preserve">ANNEXURE A - COMPENSATION BREAK-UP</w:t>
      </w:r>
    </w:p>
    <w:p>
      <w:pPr>
        <w:spacing w:after="200"/>
        <w:jc w:val="center"/>
      </w:pPr>
      <w:r>
        <w:rPr>
          <w:rFonts w:ascii="Calibri" w:cs="Calibri" w:eastAsia="Calibri" w:hAnsi="Calibri"/>
          <w:b/>
          <w:bCs/>
          <w:sz w:val="22"/>
          <w:szCs w:val="22"/>
        </w:rPr>
        <w:t xml:space="preserve">Ms. Priya Nair</w:t>
      </w:r>
      <w:r>
        <w:rPr>
          <w:rFonts w:ascii="Calibri" w:cs="Calibri" w:eastAsia="Calibri" w:hAnsi="Calibri"/>
          <w:color w:val="000000"/>
          <w:sz w:val="22"/>
          <w:szCs w:val="22"/>
        </w:rPr>
        <w:t xml:space="preserve">  |  Employee ID: </w:t>
      </w:r>
      <w:r>
        <w:rPr>
          <w:rFonts w:ascii="Calibri" w:cs="Calibri" w:eastAsia="Calibri" w:hAnsi="Calibri"/>
          <w:b/>
          <w:bCs/>
          <w:sz w:val="22"/>
          <w:szCs w:val="22"/>
        </w:rPr>
        <w:t xml:space="preserve">IN10002</w:t>
      </w:r>
      <w:r>
        <w:rPr>
          <w:rFonts w:ascii="Calibri" w:cs="Calibri" w:eastAsia="Calibri" w:hAnsi="Calibri"/>
          <w:color w:val="000000"/>
          <w:sz w:val="22"/>
          <w:szCs w:val="22"/>
        </w:rPr>
        <w:t xml:space="preserve">  |  Effective </w:t>
      </w:r>
      <w:r>
        <w:rPr>
          <w:rFonts w:ascii="Calibri" w:cs="Calibri" w:eastAsia="Calibri" w:hAnsi="Calibri"/>
          <w:b/>
          <w:bCs/>
          <w:sz w:val="22"/>
          <w:szCs w:val="22"/>
        </w:rPr>
        <w:t xml:space="preserve">01-Sep-2026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26"/>
        <w:gridCol w:w="3500"/>
      </w:tblGrid>
      <w:tr>
        <w:tc>
          <w:tcPr>
            <w:tcW w:type="dxa" w:w="5526"/>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2"/>
                <w:szCs w:val="22"/>
              </w:rPr>
              <w:t xml:space="preserve">Component</w:t>
            </w:r>
          </w:p>
        </w:tc>
        <w:tc>
          <w:tcPr>
            <w:tcW w:type="dxa" w:w="3500"/>
            <w:shd w:fill="1F3864" w:color="auto" w:val="clear"/>
            <w:tcMar>
              <w:top w:type="dxa" w:w="80"/>
              <w:left w:type="dxa" w:w="120"/>
              <w:bottom w:type="dxa" w:w="80"/>
              <w:right w:type="dxa" w:w="120"/>
            </w:tcMar>
          </w:tcPr>
          <w:p>
            <w:pPr>
              <w:spacing w:after="0"/>
              <w:jc w:val="right"/>
            </w:pPr>
            <w:r>
              <w:rPr>
                <w:rFonts w:ascii="Calibri" w:cs="Calibri" w:eastAsia="Calibri" w:hAnsi="Calibri"/>
                <w:b/>
                <w:bCs/>
                <w:color w:val="FFFFFF"/>
                <w:sz w:val="22"/>
                <w:szCs w:val="22"/>
              </w:rPr>
              <w:t xml:space="preserve">Annual amount (INR)</w:t>
            </w:r>
          </w:p>
        </w:tc>
      </w:tr>
      <w:tr>
        <w:tc>
          <w:tcPr>
            <w:tcW w:type="dxa" w:w="5526"/>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Basic salary</w:t>
            </w:r>
          </w:p>
        </w:tc>
        <w:tc>
          <w:tcPr>
            <w:tcW w:type="dxa" w:w="3500"/>
            <w:tcMar>
              <w:top w:type="dxa" w:w="80"/>
              <w:left w:type="dxa" w:w="120"/>
              <w:bottom w:type="dxa" w:w="80"/>
              <w:right w:type="dxa" w:w="120"/>
            </w:tcMar>
          </w:tcPr>
          <w:p>
            <w:pPr>
              <w:spacing w:after="0"/>
              <w:jc w:val="right"/>
            </w:pPr>
            <w:r>
              <w:rPr>
                <w:rFonts w:ascii="Calibri" w:cs="Calibri" w:eastAsia="Calibri" w:hAnsi="Calibri"/>
                <w:b/>
                <w:bCs/>
                <w:sz w:val="22"/>
                <w:szCs w:val="22"/>
              </w:rPr>
              <w:t xml:space="preserve">8,64,000.00</w:t>
            </w:r>
          </w:p>
        </w:tc>
      </w:tr>
      <w:tr>
        <w:tc>
          <w:tcPr>
            <w:tcW w:type="dxa" w:w="5526"/>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House rent allowance</w:t>
            </w:r>
          </w:p>
        </w:tc>
        <w:tc>
          <w:tcPr>
            <w:tcW w:type="dxa" w:w="3500"/>
            <w:tcMar>
              <w:top w:type="dxa" w:w="80"/>
              <w:left w:type="dxa" w:w="120"/>
              <w:bottom w:type="dxa" w:w="80"/>
              <w:right w:type="dxa" w:w="120"/>
            </w:tcMar>
          </w:tcPr>
          <w:p>
            <w:pPr>
              <w:spacing w:after="0"/>
              <w:jc w:val="right"/>
            </w:pPr>
            <w:r>
              <w:rPr>
                <w:rFonts w:ascii="Calibri" w:cs="Calibri" w:eastAsia="Calibri" w:hAnsi="Calibri"/>
                <w:b/>
                <w:bCs/>
                <w:sz w:val="22"/>
                <w:szCs w:val="22"/>
              </w:rPr>
              <w:t xml:space="preserve">4,32,000.00</w:t>
            </w:r>
          </w:p>
        </w:tc>
      </w:tr>
      <w:tr>
        <w:tc>
          <w:tcPr>
            <w:tcW w:type="dxa" w:w="5526"/>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Conveyance allowance</w:t>
            </w:r>
          </w:p>
        </w:tc>
        <w:tc>
          <w:tcPr>
            <w:tcW w:type="dxa" w:w="3500"/>
            <w:tcMar>
              <w:top w:type="dxa" w:w="80"/>
              <w:left w:type="dxa" w:w="120"/>
              <w:bottom w:type="dxa" w:w="80"/>
              <w:right w:type="dxa" w:w="120"/>
            </w:tcMar>
          </w:tcPr>
          <w:p>
            <w:pPr>
              <w:spacing w:after="0"/>
              <w:jc w:val="right"/>
            </w:pPr>
            <w:r>
              <w:rPr>
                <w:rFonts w:ascii="Calibri" w:cs="Calibri" w:eastAsia="Calibri" w:hAnsi="Calibri"/>
                <w:b/>
                <w:bCs/>
                <w:sz w:val="22"/>
                <w:szCs w:val="22"/>
              </w:rPr>
              <w:t xml:space="preserve">19,200.00</w:t>
            </w:r>
          </w:p>
        </w:tc>
      </w:tr>
      <w:tr>
        <w:tc>
          <w:tcPr>
            <w:tcW w:type="dxa" w:w="5526"/>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Medical allowance</w:t>
            </w:r>
          </w:p>
        </w:tc>
        <w:tc>
          <w:tcPr>
            <w:tcW w:type="dxa" w:w="3500"/>
            <w:tcMar>
              <w:top w:type="dxa" w:w="80"/>
              <w:left w:type="dxa" w:w="120"/>
              <w:bottom w:type="dxa" w:w="80"/>
              <w:right w:type="dxa" w:w="120"/>
            </w:tcMar>
          </w:tcPr>
          <w:p>
            <w:pPr>
              <w:spacing w:after="0"/>
              <w:jc w:val="right"/>
            </w:pPr>
            <w:r>
              <w:rPr>
                <w:rFonts w:ascii="Calibri" w:cs="Calibri" w:eastAsia="Calibri" w:hAnsi="Calibri"/>
                <w:b/>
                <w:bCs/>
                <w:sz w:val="22"/>
                <w:szCs w:val="22"/>
              </w:rPr>
              <w:t xml:space="preserve">15,000.00</w:t>
            </w:r>
          </w:p>
        </w:tc>
      </w:tr>
      <w:tr>
        <w:tc>
          <w:tcPr>
            <w:tcW w:type="dxa" w:w="5526"/>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Leave travel allowance</w:t>
            </w:r>
          </w:p>
        </w:tc>
        <w:tc>
          <w:tcPr>
            <w:tcW w:type="dxa" w:w="3500"/>
            <w:tcMar>
              <w:top w:type="dxa" w:w="80"/>
              <w:left w:type="dxa" w:w="120"/>
              <w:bottom w:type="dxa" w:w="80"/>
              <w:right w:type="dxa" w:w="120"/>
            </w:tcMar>
          </w:tcPr>
          <w:p>
            <w:pPr>
              <w:spacing w:after="0"/>
              <w:jc w:val="right"/>
            </w:pPr>
            <w:r>
              <w:rPr>
                <w:rFonts w:ascii="Calibri" w:cs="Calibri" w:eastAsia="Calibri" w:hAnsi="Calibri"/>
                <w:b/>
                <w:bCs/>
                <w:sz w:val="22"/>
                <w:szCs w:val="22"/>
              </w:rPr>
              <w:t xml:space="preserve">69,120.00</w:t>
            </w:r>
          </w:p>
        </w:tc>
      </w:tr>
      <w:tr>
        <w:tc>
          <w:tcPr>
            <w:tcW w:type="dxa" w:w="5526"/>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Special allowance</w:t>
            </w:r>
          </w:p>
        </w:tc>
        <w:tc>
          <w:tcPr>
            <w:tcW w:type="dxa" w:w="3500"/>
            <w:tcMar>
              <w:top w:type="dxa" w:w="80"/>
              <w:left w:type="dxa" w:w="120"/>
              <w:bottom w:type="dxa" w:w="80"/>
              <w:right w:type="dxa" w:w="120"/>
            </w:tcMar>
          </w:tcPr>
          <w:p>
            <w:pPr>
              <w:spacing w:after="0"/>
              <w:jc w:val="right"/>
            </w:pPr>
            <w:r>
              <w:rPr>
                <w:rFonts w:ascii="Calibri" w:cs="Calibri" w:eastAsia="Calibri" w:hAnsi="Calibri"/>
                <w:b/>
                <w:bCs/>
                <w:sz w:val="22"/>
                <w:szCs w:val="22"/>
              </w:rPr>
              <w:t xml:space="preserve">6,15,442.00</w:t>
            </w:r>
          </w:p>
        </w:tc>
      </w:tr>
      <w:tr>
        <w:tc>
          <w:tcPr>
            <w:tcW w:type="dxa" w:w="5526"/>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Employer provident fund contribution</w:t>
            </w:r>
          </w:p>
        </w:tc>
        <w:tc>
          <w:tcPr>
            <w:tcW w:type="dxa" w:w="3500"/>
            <w:tcMar>
              <w:top w:type="dxa" w:w="80"/>
              <w:left w:type="dxa" w:w="120"/>
              <w:bottom w:type="dxa" w:w="80"/>
              <w:right w:type="dxa" w:w="120"/>
            </w:tcMar>
          </w:tcPr>
          <w:p>
            <w:pPr>
              <w:spacing w:after="0"/>
              <w:jc w:val="right"/>
            </w:pPr>
            <w:r>
              <w:rPr>
                <w:rFonts w:ascii="Calibri" w:cs="Calibri" w:eastAsia="Calibri" w:hAnsi="Calibri"/>
                <w:b/>
                <w:bCs/>
                <w:sz w:val="22"/>
                <w:szCs w:val="22"/>
              </w:rPr>
              <w:t xml:space="preserve">1,03,680.00</w:t>
            </w:r>
          </w:p>
        </w:tc>
      </w:tr>
      <w:tr>
        <w:tc>
          <w:tcPr>
            <w:tcW w:type="dxa" w:w="5526"/>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Gratuity accrual</w:t>
            </w:r>
          </w:p>
        </w:tc>
        <w:tc>
          <w:tcPr>
            <w:tcW w:type="dxa" w:w="3500"/>
            <w:tcMar>
              <w:top w:type="dxa" w:w="80"/>
              <w:left w:type="dxa" w:w="120"/>
              <w:bottom w:type="dxa" w:w="80"/>
              <w:right w:type="dxa" w:w="120"/>
            </w:tcMar>
          </w:tcPr>
          <w:p>
            <w:pPr>
              <w:spacing w:after="0"/>
              <w:jc w:val="right"/>
            </w:pPr>
            <w:r>
              <w:rPr>
                <w:rFonts w:ascii="Calibri" w:cs="Calibri" w:eastAsia="Calibri" w:hAnsi="Calibri"/>
                <w:b/>
                <w:bCs/>
                <w:sz w:val="22"/>
                <w:szCs w:val="22"/>
              </w:rPr>
              <w:t xml:space="preserve">41,558.00</w:t>
            </w:r>
          </w:p>
        </w:tc>
      </w:tr>
      <w:tr>
        <w:tc>
          <w:tcPr>
            <w:tcW w:type="dxa" w:w="5526"/>
            <w:shd w:fill="D9E2F3" w:color="auto" w:val="clear"/>
            <w:tcMar>
              <w:top w:type="dxa" w:w="80"/>
              <w:left w:type="dxa" w:w="120"/>
              <w:bottom w:type="dxa" w:w="80"/>
              <w:right w:type="dxa" w:w="120"/>
            </w:tcMar>
          </w:tcPr>
          <w:p>
            <w:pPr>
              <w:spacing w:after="0"/>
              <w:jc w:val="left"/>
            </w:pPr>
            <w:r>
              <w:rPr>
                <w:rFonts w:ascii="Calibri" w:cs="Calibri" w:eastAsia="Calibri" w:hAnsi="Calibri"/>
                <w:b/>
                <w:bCs/>
                <w:color w:val="000000"/>
                <w:sz w:val="22"/>
                <w:szCs w:val="22"/>
              </w:rPr>
              <w:t xml:space="preserve">Total fixed pay</w:t>
            </w:r>
          </w:p>
        </w:tc>
        <w:tc>
          <w:tcPr>
            <w:tcW w:type="dxa" w:w="3500"/>
            <w:shd w:fill="D9E2F3" w:color="auto" w:val="clear"/>
            <w:tcMar>
              <w:top w:type="dxa" w:w="80"/>
              <w:left w:type="dxa" w:w="120"/>
              <w:bottom w:type="dxa" w:w="80"/>
              <w:right w:type="dxa" w:w="120"/>
            </w:tcMar>
          </w:tcPr>
          <w:p>
            <w:pPr>
              <w:spacing w:after="0"/>
              <w:jc w:val="right"/>
            </w:pPr>
            <w:r>
              <w:rPr>
                <w:rFonts w:ascii="Calibri" w:cs="Calibri" w:eastAsia="Calibri" w:hAnsi="Calibri"/>
                <w:b/>
                <w:bCs/>
                <w:sz w:val="22"/>
                <w:szCs w:val="22"/>
              </w:rPr>
              <w:t xml:space="preserve">21,60,000.00</w:t>
            </w:r>
          </w:p>
        </w:tc>
      </w:tr>
      <w:tr>
        <w:tc>
          <w:tcPr>
            <w:tcW w:type="dxa" w:w="5526"/>
            <w:tcMar>
              <w:top w:type="dxa" w:w="80"/>
              <w:left w:type="dxa" w:w="120"/>
              <w:bottom w:type="dxa" w:w="80"/>
              <w:right w:type="dxa" w:w="120"/>
            </w:tcMar>
          </w:tcPr>
          <w:p>
            <w:pPr>
              <w:spacing w:after="0"/>
              <w:jc w:val="left"/>
            </w:pPr>
            <w:r>
              <w:rPr>
                <w:rFonts w:ascii="Calibri" w:cs="Calibri" w:eastAsia="Calibri" w:hAnsi="Calibri"/>
                <w:i/>
                <w:iCs/>
                <w:sz w:val="22"/>
                <w:szCs w:val="22"/>
              </w:rPr>
              <w:t xml:space="preserve"/>
            </w:r>
            <w:r>
              <w:rPr>
                <w:rFonts w:ascii="Calibri" w:cs="Calibri" w:eastAsia="Calibri" w:hAnsi="Calibri"/>
                <w:color w:val="000000"/>
                <w:sz w:val="22"/>
                <w:szCs w:val="22"/>
              </w:rPr>
              <w:t xml:space="preserve"> Performance-linked variable pay at 100% </w:t>
            </w:r>
            <w:r>
              <w:rPr>
                <w:rFonts w:ascii="Calibri" w:cs="Calibri" w:eastAsia="Calibri" w:hAnsi="Calibri"/>
                <w:i/>
                <w:iCs/>
                <w:sz w:val="22"/>
                <w:szCs w:val="22"/>
              </w:rPr>
              <w:t xml:space="preserve"/>
            </w:r>
          </w:p>
        </w:tc>
        <w:tc>
          <w:tcPr>
            <w:tcW w:type="dxa" w:w="3500"/>
            <w:tcMar>
              <w:top w:type="dxa" w:w="80"/>
              <w:left w:type="dxa" w:w="120"/>
              <w:bottom w:type="dxa" w:w="80"/>
              <w:right w:type="dxa" w:w="120"/>
            </w:tcMar>
          </w:tcPr>
          <w:p>
            <w:pPr>
              <w:spacing w:after="0"/>
              <w:jc w:val="right"/>
            </w:pPr>
            <w:r>
              <w:rPr>
                <w:rFonts w:ascii="Calibri" w:cs="Calibri" w:eastAsia="Calibri" w:hAnsi="Calibri"/>
                <w:b/>
                <w:bCs/>
                <w:sz w:val="22"/>
                <w:szCs w:val="22"/>
              </w:rPr>
              <w:t xml:space="preserve">2,40,000.00</w:t>
            </w:r>
          </w:p>
        </w:tc>
      </w:tr>
      <w:tr>
        <w:tc>
          <w:tcPr>
            <w:tcW w:type="dxa" w:w="5526"/>
            <w:shd w:fill="D9E2F3" w:color="auto" w:val="clear"/>
            <w:tcMar>
              <w:top w:type="dxa" w:w="80"/>
              <w:left w:type="dxa" w:w="120"/>
              <w:bottom w:type="dxa" w:w="80"/>
              <w:right w:type="dxa" w:w="120"/>
            </w:tcMar>
          </w:tcPr>
          <w:p>
            <w:pPr>
              <w:spacing w:after="0"/>
              <w:jc w:val="left"/>
            </w:pPr>
            <w:r>
              <w:rPr>
                <w:rFonts w:ascii="Calibri" w:cs="Calibri" w:eastAsia="Calibri" w:hAnsi="Calibri"/>
                <w:b/>
                <w:bCs/>
                <w:color w:val="000000"/>
                <w:sz w:val="22"/>
                <w:szCs w:val="22"/>
              </w:rPr>
              <w:t xml:space="preserve">Total CTC</w:t>
            </w:r>
          </w:p>
        </w:tc>
        <w:tc>
          <w:tcPr>
            <w:tcW w:type="dxa" w:w="3500"/>
            <w:shd w:fill="D9E2F3" w:color="auto" w:val="clear"/>
            <w:tcMar>
              <w:top w:type="dxa" w:w="80"/>
              <w:left w:type="dxa" w:w="120"/>
              <w:bottom w:type="dxa" w:w="80"/>
              <w:right w:type="dxa" w:w="120"/>
            </w:tcMar>
          </w:tcPr>
          <w:p>
            <w:pPr>
              <w:spacing w:after="0"/>
              <w:jc w:val="right"/>
            </w:pPr>
            <w:r>
              <w:rPr>
                <w:rFonts w:ascii="Calibri" w:cs="Calibri" w:eastAsia="Calibri" w:hAnsi="Calibri"/>
                <w:b/>
                <w:bCs/>
                <w:sz w:val="22"/>
                <w:szCs w:val="22"/>
              </w:rPr>
              <w:t xml:space="preserve">24,00,000.00</w:t>
            </w:r>
          </w:p>
        </w:tc>
      </w:tr>
      <w:tr>
        <w:tc>
          <w:tcPr>
            <w:tcW w:type="dxa" w:w="5526"/>
            <w:tcMar>
              <w:top w:type="dxa" w:w="80"/>
              <w:left w:type="dxa" w:w="120"/>
              <w:bottom w:type="dxa" w:w="80"/>
              <w:right w:type="dxa" w:w="120"/>
            </w:tcMar>
          </w:tcPr>
          <w:p>
            <w:pPr>
              <w:spacing w:after="0"/>
              <w:jc w:val="left"/>
            </w:pPr>
            <w:r>
              <w:rPr>
                <w:rFonts w:ascii="Calibri" w:cs="Calibri" w:eastAsia="Calibri" w:hAnsi="Calibri"/>
                <w:i/>
                <w:iCs/>
                <w:sz w:val="22"/>
                <w:szCs w:val="22"/>
              </w:rPr>
              <w:t xml:space="preserve"/>
            </w:r>
            <w:r>
              <w:rPr>
                <w:rFonts w:ascii="Calibri" w:cs="Calibri" w:eastAsia="Calibri" w:hAnsi="Calibri"/>
                <w:color w:val="000000"/>
                <w:sz w:val="22"/>
                <w:szCs w:val="22"/>
              </w:rPr>
              <w:t xml:space="preserve"> Joining bonus (one-time, not part of CTC) </w:t>
            </w:r>
            <w:r>
              <w:rPr>
                <w:rFonts w:ascii="Calibri" w:cs="Calibri" w:eastAsia="Calibri" w:hAnsi="Calibri"/>
                <w:i/>
                <w:iCs/>
                <w:sz w:val="22"/>
                <w:szCs w:val="22"/>
              </w:rPr>
              <w:t xml:space="preserve"/>
            </w:r>
          </w:p>
        </w:tc>
        <w:tc>
          <w:tcPr>
            <w:tcW w:type="dxa" w:w="3500"/>
            <w:tcMar>
              <w:top w:type="dxa" w:w="80"/>
              <w:left w:type="dxa" w:w="120"/>
              <w:bottom w:type="dxa" w:w="80"/>
              <w:right w:type="dxa" w:w="120"/>
            </w:tcMar>
          </w:tcPr>
          <w:p>
            <w:pPr>
              <w:spacing w:after="0"/>
              <w:jc w:val="right"/>
            </w:pPr>
            <w:r>
              <w:rPr>
                <w:rFonts w:ascii="Calibri" w:cs="Calibri" w:eastAsia="Calibri" w:hAnsi="Calibri"/>
                <w:b/>
                <w:bCs/>
                <w:sz w:val="22"/>
                <w:szCs w:val="22"/>
              </w:rPr>
              <w:t xml:space="preserve">2,50,000.00</w:t>
            </w:r>
          </w:p>
        </w:tc>
      </w:tr>
      <w:tr>
        <w:tc>
          <w:tcPr>
            <w:tcW w:type="dxa" w:w="5526"/>
            <w:tcMar>
              <w:top w:type="dxa" w:w="80"/>
              <w:left w:type="dxa" w:w="120"/>
              <w:bottom w:type="dxa" w:w="80"/>
              <w:right w:type="dxa" w:w="120"/>
            </w:tcMar>
          </w:tcPr>
          <w:p>
            <w:pPr>
              <w:spacing w:after="0"/>
              <w:jc w:val="left"/>
            </w:pPr>
            <w:r>
              <w:rPr>
                <w:rFonts w:ascii="Calibri" w:cs="Calibri" w:eastAsia="Calibri" w:hAnsi="Calibri"/>
                <w:i/>
                <w:iCs/>
                <w:sz w:val="22"/>
                <w:szCs w:val="22"/>
              </w:rPr>
              <w:t xml:space="preserve"/>
            </w:r>
            <w:r>
              <w:rPr>
                <w:rFonts w:ascii="Calibri" w:cs="Calibri" w:eastAsia="Calibri" w:hAnsi="Calibri"/>
                <w:color w:val="000000"/>
                <w:sz w:val="22"/>
                <w:szCs w:val="22"/>
              </w:rPr>
              <w:t xml:space="preserve"> Retention bonus (not part of CTC) </w:t>
            </w:r>
            <w:r>
              <w:rPr>
                <w:rFonts w:ascii="Calibri" w:cs="Calibri" w:eastAsia="Calibri" w:hAnsi="Calibri"/>
                <w:i/>
                <w:iCs/>
                <w:sz w:val="22"/>
                <w:szCs w:val="22"/>
              </w:rPr>
              <w:t xml:space="preserve"/>
            </w:r>
          </w:p>
        </w:tc>
        <w:tc>
          <w:tcPr>
            <w:tcW w:type="dxa" w:w="3500"/>
            <w:tcMar>
              <w:top w:type="dxa" w:w="80"/>
              <w:left w:type="dxa" w:w="120"/>
              <w:bottom w:type="dxa" w:w="80"/>
              <w:right w:type="dxa" w:w="120"/>
            </w:tcMar>
          </w:tcPr>
          <w:p>
            <w:pPr>
              <w:spacing w:after="0"/>
              <w:jc w:val="right"/>
            </w:pPr>
            <w:r>
              <w:rPr>
                <w:rFonts w:ascii="Calibri" w:cs="Calibri" w:eastAsia="Calibri" w:hAnsi="Calibri"/>
                <w:b/>
                <w:bCs/>
                <w:sz w:val="22"/>
                <w:szCs w:val="22"/>
              </w:rPr>
              <w:t xml:space="preserve">3,00,000.00</w:t>
            </w:r>
          </w:p>
        </w:tc>
      </w:tr>
      <w:tr>
        <w:tc>
          <w:tcPr>
            <w:tcW w:type="dxa" w:w="5526"/>
            <w:shd w:fill="D9E2F3" w:color="auto" w:val="clear"/>
            <w:tcMar>
              <w:top w:type="dxa" w:w="80"/>
              <w:left w:type="dxa" w:w="120"/>
              <w:bottom w:type="dxa" w:w="80"/>
              <w:right w:type="dxa" w:w="120"/>
            </w:tcMar>
          </w:tcPr>
          <w:p>
            <w:pPr>
              <w:spacing w:after="0"/>
              <w:jc w:val="left"/>
            </w:pPr>
            <w:r>
              <w:rPr>
                <w:rFonts w:ascii="Calibri" w:cs="Calibri" w:eastAsia="Calibri" w:hAnsi="Calibri"/>
                <w:b/>
                <w:bCs/>
                <w:color w:val="000000"/>
                <w:sz w:val="22"/>
                <w:szCs w:val="22"/>
              </w:rPr>
              <w:t xml:space="preserve">Approximate monthly gross</w:t>
            </w:r>
          </w:p>
        </w:tc>
        <w:tc>
          <w:tcPr>
            <w:tcW w:type="dxa" w:w="3500"/>
            <w:shd w:fill="D9E2F3" w:color="auto" w:val="clear"/>
            <w:tcMar>
              <w:top w:type="dxa" w:w="80"/>
              <w:left w:type="dxa" w:w="120"/>
              <w:bottom w:type="dxa" w:w="80"/>
              <w:right w:type="dxa" w:w="120"/>
            </w:tcMar>
          </w:tcPr>
          <w:p>
            <w:pPr>
              <w:spacing w:after="0"/>
              <w:jc w:val="right"/>
            </w:pPr>
            <w:r>
              <w:rPr>
                <w:rFonts w:ascii="Calibri" w:cs="Calibri" w:eastAsia="Calibri" w:hAnsi="Calibri"/>
                <w:b/>
                <w:bCs/>
                <w:sz w:val="22"/>
                <w:szCs w:val="22"/>
              </w:rPr>
              <w:t xml:space="preserve">1,67,897.00</w:t>
            </w:r>
          </w:p>
        </w:tc>
      </w:tr>
    </w:tbl>
    <w:p>
      <w:pPr>
        <w:spacing w:after="100"/>
      </w:pPr>
      <w:r>
        <w:rPr>
          <w:rFonts w:ascii="Calibri" w:cs="Calibri" w:eastAsia="Calibri" w:hAnsi="Calibri"/>
          <w:color w:val="000000"/>
          <w:sz w:val="22"/>
          <w:szCs w:val="22"/>
        </w:rPr>
        <w:t xml:space="preserve"/>
      </w:r>
    </w:p>
    <w:p>
      <w:pPr>
        <w:spacing w:after="140"/>
      </w:pPr>
      <w:r>
        <w:rPr>
          <w:rFonts w:ascii="Calibri" w:cs="Calibri" w:eastAsia="Calibri" w:hAnsi="Calibri"/>
          <w:i/>
          <w:iCs/>
          <w:color w:val="000000"/>
          <w:sz w:val="18"/>
          <w:szCs w:val="18"/>
        </w:rPr>
        <w:t xml:space="preserve">Amounts are annual and in Indian Rupees unless stated otherwise. Statutory deductions, income tax and professional tax are applied as per the law in force. The Company may restructure components to remain compliant with tax or labour legislation without reducing total CTC.</w:t>
      </w:r>
    </w:p>
    <w:p>
      <w:pPr>
        <w:spacing w:after="100"/>
      </w:pPr>
      <w:r>
        <w:rPr>
          <w:rFonts w:ascii="Calibri" w:cs="Calibri" w:eastAsia="Calibri" w:hAnsi="Calibri"/>
          <w:color w:val="000000"/>
          <w:sz w:val="22"/>
          <w:szCs w:val="22"/>
        </w:rPr>
        <w:t xml:space="preserve"/>
      </w:r>
    </w:p>
    <w:p>
      <w:pPr>
        <w:spacing w:after="140" w:before="200"/>
      </w:pPr>
      <w:r>
        <w:rPr>
          <w:rFonts w:ascii="Calibri" w:cs="Calibri" w:eastAsia="Calibri" w:hAnsi="Calibri"/>
          <w:b/>
          <w:bCs/>
          <w:color w:val="000000"/>
          <w:sz w:val="24"/>
          <w:szCs w:val="24"/>
        </w:rPr>
        <w:t xml:space="preserve">Acceptance</w:t>
      </w:r>
    </w:p>
    <w:p>
      <w:pPr>
        <w:spacing w:after="140"/>
      </w:pPr>
      <w:r>
        <w:rPr>
          <w:rFonts w:ascii="Calibri" w:cs="Calibri" w:eastAsia="Calibri" w:hAnsi="Calibri"/>
          <w:color w:val="000000"/>
          <w:sz w:val="22"/>
          <w:szCs w:val="22"/>
        </w:rPr>
        <w:t xml:space="preserve">Please sign and return a copy of this letter along with Annexure A within fourteen (14) days to confirm your acceptance. For any clarification, contact </w:t>
      </w:r>
      <w:r>
        <w:rPr>
          <w:rFonts w:ascii="Calibri" w:cs="Calibri" w:eastAsia="Calibri" w:hAnsi="Calibri"/>
          <w:b/>
          <w:bCs/>
          <w:sz w:val="22"/>
          <w:szCs w:val="22"/>
        </w:rPr>
        <w:t xml:space="preserve">Shweta Kadam</w:t>
      </w:r>
      <w:r>
        <w:rPr>
          <w:rFonts w:ascii="Calibri" w:cs="Calibri" w:eastAsia="Calibri" w:hAnsi="Calibri"/>
          <w:color w:val="000000"/>
          <w:sz w:val="22"/>
          <w:szCs w:val="22"/>
        </w:rPr>
        <w:t xml:space="preserve"> at </w:t>
      </w:r>
      <w:r>
        <w:rPr>
          <w:rFonts w:ascii="Calibri" w:cs="Calibri" w:eastAsia="Calibri" w:hAnsi="Calibri"/>
          <w:b/>
          <w:bCs/>
          <w:sz w:val="22"/>
          <w:szCs w:val="22"/>
        </w:rPr>
        <w:t xml:space="preserve">hr.onboarding@example.com</w:t>
      </w:r>
      <w:r>
        <w:rPr>
          <w:rFonts w:ascii="Calibri" w:cs="Calibri" w:eastAsia="Calibri" w:hAnsi="Calibri"/>
          <w:color w:val="000000"/>
          <w:sz w:val="22"/>
          <w:szCs w:val="22"/>
        </w:rPr>
        <w:t xml:space="preserve">.</w:t>
      </w:r>
    </w:p>
    <w:p>
      <w:pPr>
        <w:spacing w:after="100"/>
      </w:pPr>
      <w:r>
        <w:rPr>
          <w:rFonts w:ascii="Calibri" w:cs="Calibri" w:eastAsia="Calibri" w:hAnsi="Calibri"/>
          <w:color w:val="000000"/>
          <w:sz w:val="22"/>
          <w:szCs w:val="22"/>
        </w:rPr>
        <w:t xml:space="preserve"/>
      </w:r>
    </w:p>
    <w:tbl>
      <w:tblPr>
        <w:tblW w:type="dxa" w:w="9026"/>
        <w:tblBorders>
          <w:top w:val="none"/>
          <w:left w:val="none"/>
          <w:bottom w:val="none"/>
          <w:right w:val="none"/>
          <w:insideH w:val="none"/>
          <w:insideV w:val="none"/>
        </w:tblBorders>
      </w:tblPr>
      <w:tblGrid>
        <w:gridCol w:w="4513"/>
        <w:gridCol w:w="4513"/>
      </w:tblGrid>
      <w:tr>
        <w:tc>
          <w:tcPr>
            <w:tcW w:type="dxa" w:w="4513"/>
            <w:tcMar>
              <w:top w:type="dxa" w:w="80"/>
              <w:left w:type="dxa" w:w="120"/>
              <w:bottom w:type="dxa" w:w="80"/>
              <w:right w:type="dxa" w:w="120"/>
            </w:tcMar>
          </w:tcPr>
          <w:p>
            <w:pPr>
              <w:spacing w:after="0"/>
              <w:jc w:val="left"/>
            </w:pPr>
            <w:r>
              <w:rPr>
                <w:rFonts w:ascii="Calibri" w:cs="Calibri" w:eastAsia="Calibri" w:hAnsi="Calibri"/>
                <w:b/>
                <w:bCs/>
                <w:color w:val="000000"/>
                <w:sz w:val="22"/>
                <w:szCs w:val="22"/>
              </w:rPr>
              <w:t xml:space="preserve">For Acme Technologies India Private Limited</w:t>
            </w:r>
          </w:p>
        </w:tc>
        <w:tc>
          <w:tcPr>
            <w:tcW w:type="dxa" w:w="4513"/>
            <w:tcMar>
              <w:top w:type="dxa" w:w="80"/>
              <w:left w:type="dxa" w:w="120"/>
              <w:bottom w:type="dxa" w:w="80"/>
              <w:right w:type="dxa" w:w="120"/>
            </w:tcMar>
          </w:tcPr>
          <w:p>
            <w:pPr>
              <w:spacing w:after="0"/>
              <w:jc w:val="left"/>
            </w:pPr>
            <w:r>
              <w:rPr>
                <w:rFonts w:ascii="Calibri" w:cs="Calibri" w:eastAsia="Calibri" w:hAnsi="Calibri"/>
                <w:b/>
                <w:bCs/>
                <w:color w:val="000000"/>
                <w:sz w:val="22"/>
                <w:szCs w:val="22"/>
              </w:rPr>
              <w:t xml:space="preserve">Accepted and agreed</w:t>
            </w:r>
          </w:p>
        </w:tc>
      </w:tr>
      <w:tr>
        <w:tc>
          <w:tcPr>
            <w:tcW w:type="dxa" w:w="4513"/>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
            </w:r>
          </w:p>
        </w:tc>
        <w:tc>
          <w:tcPr>
            <w:tcW w:type="dxa" w:w="4513"/>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
            </w:r>
          </w:p>
        </w:tc>
      </w:tr>
      <w:tr>
        <w:tc>
          <w:tcPr>
            <w:tcW w:type="dxa" w:w="4513"/>
            <w:tcMar>
              <w:top w:type="dxa" w:w="80"/>
              <w:left w:type="dxa" w:w="120"/>
              <w:bottom w:type="dxa" w:w="80"/>
              <w:right w:type="dxa" w:w="120"/>
            </w:tcMar>
          </w:tcPr>
          <w:p>
            <w:pPr>
              <w:spacing w:after="0"/>
              <w:jc w:val="left"/>
            </w:pPr>
            <w:r>
              <w:rPr>
                <w:rFonts w:ascii="Calibri" w:cs="Calibri" w:eastAsia="Calibri" w:hAnsi="Calibri"/>
                <w:b/>
                <w:bCs/>
                <w:sz w:val="22"/>
                <w:szCs w:val="22"/>
              </w:rPr>
              <w:t xml:space="preserve">Yeljale Shubham</w:t>
            </w:r>
          </w:p>
        </w:tc>
        <w:tc>
          <w:tcPr>
            <w:tcW w:type="dxa" w:w="4513"/>
            <w:tcMar>
              <w:top w:type="dxa" w:w="80"/>
              <w:left w:type="dxa" w:w="120"/>
              <w:bottom w:type="dxa" w:w="80"/>
              <w:right w:type="dxa" w:w="120"/>
            </w:tcMar>
          </w:tcPr>
          <w:p>
            <w:pPr>
              <w:spacing w:after="0"/>
              <w:jc w:val="left"/>
            </w:pPr>
            <w:r>
              <w:rPr>
                <w:rFonts w:ascii="Calibri" w:cs="Calibri" w:eastAsia="Calibri" w:hAnsi="Calibri"/>
                <w:b/>
                <w:bCs/>
                <w:sz w:val="22"/>
                <w:szCs w:val="22"/>
              </w:rPr>
              <w:t xml:space="preserve">Priya</w:t>
            </w:r>
            <w:r>
              <w:rPr>
                <w:rFonts w:ascii="Calibri" w:cs="Calibri" w:eastAsia="Calibri" w:hAnsi="Calibri"/>
                <w:color w:val="000000"/>
                <w:sz w:val="22"/>
                <w:szCs w:val="22"/>
              </w:rPr>
              <w:t xml:space="preserve"> </w:t>
            </w:r>
            <w:r>
              <w:rPr>
                <w:rFonts w:ascii="Calibri" w:cs="Calibri" w:eastAsia="Calibri" w:hAnsi="Calibri"/>
                <w:b/>
                <w:bCs/>
                <w:sz w:val="22"/>
                <w:szCs w:val="22"/>
              </w:rPr>
              <w:t xml:space="preserve">Nair</w:t>
            </w:r>
          </w:p>
        </w:tc>
      </w:tr>
      <w:tr>
        <w:tc>
          <w:tcPr>
            <w:tcW w:type="dxa" w:w="4513"/>
            <w:tcMar>
              <w:top w:type="dxa" w:w="80"/>
              <w:left w:type="dxa" w:w="120"/>
              <w:bottom w:type="dxa" w:w="80"/>
              <w:right w:type="dxa" w:w="120"/>
            </w:tcMar>
          </w:tcPr>
          <w:p>
            <w:pPr>
              <w:spacing w:after="0"/>
              <w:jc w:val="left"/>
            </w:pPr>
            <w:r>
              <w:rPr>
                <w:rFonts w:ascii="Calibri" w:cs="Calibri" w:eastAsia="Calibri" w:hAnsi="Calibri"/>
                <w:b/>
                <w:bCs/>
                <w:sz w:val="22"/>
                <w:szCs w:val="22"/>
              </w:rPr>
              <w:t xml:space="preserve">Head - Human Resources</w:t>
            </w:r>
          </w:p>
        </w:tc>
        <w:tc>
          <w:tcPr>
            <w:tcW w:type="dxa" w:w="4513"/>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Date: ______________________</w:t>
            </w:r>
          </w:p>
        </w:tc>
      </w:tr>
    </w:tbl>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Compensation Letter Template</dc:title>
  <dc:creator>Compensation Template Generator</dc:creator>
  <cp:lastModifiedBy>Un-named</cp:lastModifiedBy>
  <cp:revision>1</cp:revision>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file>