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8"/>
          <w:szCs w:val="28"/>
        </w:rPr>
      </w:pPr>
      <w:bookmarkStart w:colFirst="0" w:colLast="0" w:name="_pip2l9lmhyi0" w:id="0"/>
      <w:bookmarkEnd w:id="0"/>
      <w:r w:rsidDel="00000000" w:rsidR="00000000" w:rsidRPr="00000000">
        <w:rPr>
          <w:rFonts w:ascii="Times New Roman" w:cs="Times New Roman" w:eastAsia="Times New Roman" w:hAnsi="Times New Roman"/>
          <w:rtl w:val="0"/>
        </w:rPr>
        <w:t xml:space="preserve">Вариативная самостоятельная работа 4</w:t>
      </w:r>
      <w:r w:rsidDel="00000000" w:rsidR="00000000" w:rsidRPr="00000000">
        <w:rPr>
          <w:rtl w:val="0"/>
        </w:rPr>
      </w:r>
    </w:p>
    <w:p w:rsidR="00000000" w:rsidDel="00000000" w:rsidP="00000000" w:rsidRDefault="00000000" w:rsidRPr="00000000" w14:paraId="00000002">
      <w:pPr>
        <w:pStyle w:val="Heading3"/>
        <w:jc w:val="center"/>
        <w:rPr>
          <w:rFonts w:ascii="Times New Roman" w:cs="Times New Roman" w:eastAsia="Times New Roman" w:hAnsi="Times New Roman"/>
          <w:color w:val="000000"/>
        </w:rPr>
      </w:pPr>
      <w:bookmarkStart w:colFirst="0" w:colLast="0" w:name="_1x7rx1db4xlh" w:id="1"/>
      <w:bookmarkEnd w:id="1"/>
      <w:r w:rsidDel="00000000" w:rsidR="00000000" w:rsidRPr="00000000">
        <w:rPr>
          <w:rFonts w:ascii="Times New Roman" w:cs="Times New Roman" w:eastAsia="Times New Roman" w:hAnsi="Times New Roman"/>
          <w:color w:val="000000"/>
          <w:rtl w:val="0"/>
        </w:rPr>
        <w:t xml:space="preserve">Задание 4.1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 </w:t>
      </w:r>
      <w:r w:rsidDel="00000000" w:rsidR="00000000" w:rsidRPr="00000000">
        <w:rPr>
          <w:rFonts w:ascii="Times New Roman" w:cs="Times New Roman" w:eastAsia="Times New Roman" w:hAnsi="Times New Roman"/>
          <w:sz w:val="28"/>
          <w:szCs w:val="28"/>
          <w:rtl w:val="0"/>
        </w:rPr>
        <w:t xml:space="preserve">Создание таблицы со сравнительным анализом библиотек для тестирования. Формирование отчета по выполнению задания и размещение его в портфолио, персональном репозитории.</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tbl>
      <w:tblPr>
        <w:tblStyle w:val="Table1"/>
        <w:tblW w:w="1000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125"/>
        <w:gridCol w:w="4200"/>
        <w:tblGridChange w:id="0">
          <w:tblGrid>
            <w:gridCol w:w="1680"/>
            <w:gridCol w:w="412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очень прост и его легко использовать.</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много возможностей: проверки (assert*), декораторы, позволяющие пропустить отдельный тест (@skip, @skipIf) или обозначить сломанные тесты (@expectedFailure), при написании тестов легко прослеживается ООП стиль, что весьма удобно для тестирования процедур и классов.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 написания большого количества кода, стиль больше похож на “Java”, и потому становится менее читабельным.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Девизом nose является фраза “nose extends unittest to make testing easier”, что можно перевести как “nose расширяет unittest, делая тестирование проще”. nose идеален, когда нужно сделать тесты “по-быстрому”, без предварительного планирования и выстраивания архитектуры приложения с тестами. Функционал nose можно расширять и настраивать с помощью плагинов.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представляет собой расширение над стандартными unittest, то перенимает часть его минусов.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Независимость от API (no boilerplate). Подробный отчет. В том числе выгрузка в JUnitXML (для интеграции с Jenkins). Удобный assert (стандартный из Python). Параметризация тестов. Метки (marks), позволяющие пропустить любой тест, пометить тест, как падающий.Плагины. Данный модуль имеет достаточно большой список дополнительных модулей, которые можно установить отдельно. Возможность запуска тестов написанных на unittest и nose, то есть полная обратная совместимость с ними.</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возможности фикстур (возвращаемое значение, финализаторы, область видимости, объект request, автоиспользование, вложенные фикстуры)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Отсутствие дополнительного уровня вложенности: Для модулей, классов, методов, функций в тестах есть соответствующий уровень.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написания, можно скопировать прямо из интерактивной сессии питона; документация всегда соответствует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Сложный код быстро становится нечитаемым; текстовый редактор не подсветит такой код, а статический анализатор не найдет в нем ошибок).</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