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600"/>
              <w:left w:type="dxa" w:w="600"/>
              <w:bottom w:type="dxa" w:w="600"/>
              <w:right w:type="dxa" w:w="600"/>
            </w:tcMar>
          </w:tcPr>
          <w:p>
            <w:pPr>
              <w:spacing w:after="140"/>
              <w:jc w:val="center"/>
            </w:pPr>
            <w:r>
              <w:rPr>
                <w:rFonts w:ascii="Segoe UI Emoji" w:cs="Segoe UI Emoji" w:eastAsia="Segoe UI Emoji" w:hAnsi="Segoe UI Emoji"/>
                <w:sz w:val="72"/>
                <w:szCs w:val="72"/>
              </w:rPr>
              <w:t xml:space="preserve">🎓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0"/>
                <w:szCs w:val="60"/>
              </w:rPr>
              <w:t xml:space="preserve">EduQuiz AI Pro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93C5FD"/>
                <w:sz w:val="28"/>
                <w:szCs w:val="28"/>
              </w:rPr>
              <w:t xml:space="preserve">Cahier des Charges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CBD5E1"/>
                <w:sz w:val="20"/>
                <w:szCs w:val="20"/>
              </w:rPr>
              <w:t xml:space="preserve">Plateforme d'Apprentissage Intelligente de Nouvelle Génération</w:t>
            </w:r>
          </w:p>
        </w:tc>
      </w:tr>
    </w:tbl>
    <w:p>
      <w:pPr>
        <w:spacing w:before="160" w:after="32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Version 1.0  —  Confidentiel  —  2026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🚀  1. Vision et Objectifs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2563EB" w:sz="6"/>
              <w:bottom w:val="none"/>
              <w:right w:val="none"/>
            </w:tcBorders>
            <w:shd w:fill="EFF6FF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NOTE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EduQuiz AI Pro est une plateforme d'apprentissage intelligente de nouvelle génération qui transforme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n'importe quelle source de contenu (Documents, Vidéos YouTube, Notes manuscrites) en un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écosystème d'apprentissage complet.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80" w:after="80" w:line="276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L'objectif principal est de démocratiser l'accès à une méthode d'apprentissage structurée en automatisant la création de supports pédagogiques à partir de sources disparates.</w:t>
      </w:r>
    </w:p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👥  2. Public Cible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2563EB" w:sz="6"/>
              <w:bottom w:val="none"/>
              <w:right w:val="none"/>
            </w:tcBorders>
            <w:shd w:fill="EFF6FF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ASTUCE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Trois segments clés bénéficient directement de la puissance d'EduQuiz AI.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Segment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Usage Principal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1"/>
                <w:szCs w:val="21"/>
              </w:rPr>
              <w:t xml:space="preserve">🎓  Enseignants &amp; Formateurs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Digitalisation rapide de supports de cours.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1"/>
                <w:szCs w:val="21"/>
              </w:rPr>
              <w:t xml:space="preserve">📚  Étudiants &amp; Autodidactes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Préparation optimisée aux examens et concours.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1"/>
                <w:szCs w:val="21"/>
              </w:rPr>
              <w:t xml:space="preserve">🎬  Créateurs de Contenu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FF6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Valorisation pédagogique de contenus vidéo ou textuels.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🛠️  3. Périmètre Fonctionnel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A. Flux de Génération Multimodale</w:t>
      </w:r>
    </w:p>
    <w:p>
      <w:pPr>
        <w:spacing w:before="80" w:after="80" w:line="276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L'IA traite différents types d'entrées pour extraire le savoir essentiel :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293B" w:val="clear"/>
            <w:tcMar>
              <w:top w:type="dxa" w:w="220"/>
              <w:left w:type="dxa" w:w="400"/>
              <w:bottom w:type="dxa" w:w="220"/>
              <w:right w:type="dxa" w:w="400"/>
            </w:tcMar>
          </w:tcPr>
          <w:p>
            <w:pPr>
              <w:spacing w:after="100"/>
              <w:jc w:val="center"/>
            </w:pPr>
            <w:r>
              <w:rPr>
                <w:rFonts w:ascii="Courier New" w:cs="Courier New" w:eastAsia="Courier New" w:hAnsi="Courier New"/>
                <w:color w:val="94A3B8"/>
                <w:sz w:val="20"/>
                <w:szCs w:val="20"/>
              </w:rPr>
              <w:t xml:space="preserve">📄 Documents PDF/DOCX   ·   🔗 YouTube URL   ·   📸 Photos / OCR</w:t>
            </w:r>
          </w:p>
          <w:p>
            <w:pPr>
              <w:spacing w:after="100"/>
              <w:jc w:val="center"/>
            </w:pPr>
            <w:r>
              <w:rPr>
                <w:rFonts w:ascii="Courier New" w:cs="Courier New" w:eastAsia="Courier New" w:hAnsi="Courier New"/>
                <w:color w:val="475569"/>
                <w:sz w:val="24"/>
                <w:szCs w:val="24"/>
              </w:rPr>
              <w:t xml:space="preserve">↓</w:t>
            </w:r>
          </w:p>
          <w:p>
            <w:pPr>
              <w:spacing w:after="10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2"/>
                <w:szCs w:val="22"/>
              </w:rPr>
              <w:t xml:space="preserve">⚙️  Extraction IA — Gemini 1.5 Pro</w:t>
            </w:r>
          </w:p>
          <w:p>
            <w:pPr>
              <w:spacing w:after="100"/>
              <w:jc w:val="center"/>
            </w:pPr>
            <w:r>
              <w:rPr>
                <w:rFonts w:ascii="Courier New" w:cs="Courier New" w:eastAsia="Courier New" w:hAnsi="Courier New"/>
                <w:color w:val="475569"/>
                <w:sz w:val="24"/>
                <w:szCs w:val="24"/>
              </w:rPr>
              <w:t xml:space="preserve">↓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93C5FD"/>
                <w:sz w:val="21"/>
                <w:szCs w:val="21"/>
              </w:rPr>
              <w:t xml:space="preserve">✅ Quiz Interactif          🧠 Flashcards SRS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B. Moteur d'Apprentissage Intelligent (SRS)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1D5DB" w:sz="1"/>
              <w:left w:val="single" w:color="1E3A5F" w:sz="6"/>
              <w:bottom w:val="single" w:color="D1D5DB" w:sz="1"/>
              <w:right w:val="single" w:color="D1D5DB" w:sz="1"/>
            </w:tcBorders>
            <w:shd w:fill="F9FA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🧠  Spaced Repetition &amp; IA Tuteur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Spaced Repetition System (SRS) : Utilisation de l'algorithme SM-2 pour maximiser la rétention à long terme.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Tuteur IA Interactif : Support en temps réel via Gemini pour approfondir les concepts et répondre aux questions.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Flashcards Dynamiques : Pont automatique entre les erreurs de quiz et la révision ciblée.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C. Gamification &amp; Analytics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1D5DB" w:sz="1"/>
              <w:left w:val="single" w:color="1E3A5F" w:sz="6"/>
              <w:bottom w:val="single" w:color="D1D5DB" w:sz="1"/>
              <w:right w:val="single" w:color="D1D5DB" w:sz="1"/>
            </w:tcBorders>
            <w:shd w:fill="F9FA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🏆  Engagement &amp; Analyse des Performances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Streaks &amp; XP : Mécaniques d'engagement pour encourager la régularité quotidienne.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Activity Heatmap : Visualisation claire et intuitive de l'intensité d'étude sur le calendrier.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Gap Analysis : Diagnostic IA des points faibles pour cibler les prochaines révisions de manière intelligente.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D. Communauté &amp; Partage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1D5DB" w:sz="1"/>
              <w:left w:val="single" w:color="1E3A5F" w:sz="6"/>
              <w:bottom w:val="single" w:color="D1D5DB" w:sz="1"/>
              <w:right w:val="single" w:color="D1D5DB" w:sz="1"/>
            </w:tcBorders>
            <w:shd w:fill="F9FAF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1E3A5F"/>
                <w:sz w:val="22"/>
                <w:szCs w:val="22"/>
              </w:rPr>
              <w:t xml:space="preserve">🌐  Bibliothèque Collaborative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Bibliothèque Publique : Mutualisation des ressources créées par la communauté d'utilisateurs.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Interactions Sociales : Système de favoris, likes et partage de decks de révision entre pairs.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💻  4. Spécifications Techniques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Composant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Technologie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⚙️  Backend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Django 6.x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🤖  Intelligence Artificielle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Gemini 1.5 Pro / Flash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🗄️  Base de Données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PostgreSQL (hébergé sur Render)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🎨  Frontend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Vanilla CSS 3 — Glassmorphism Design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🎨  5. Identité Visuelle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80" w:after="80" w:line="276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Pour garantir une expérience premium, nous utilisons des assets vectoriels haute définition :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Logo Principal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1"/>
                <w:szCs w:val="21"/>
              </w:rPr>
              <w:t xml:space="preserve">assets/logo.png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Hero Image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1"/>
                <w:szCs w:val="21"/>
              </w:rPr>
              <w:t xml:space="preserve">assets/hero.png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Image de Marque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1"/>
                <w:szCs w:val="21"/>
              </w:rPr>
              <w:t xml:space="preserve">static/images/about_hero.png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1E3A5F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🛡️  6. Exigences &amp; Sécurité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2563EB" w:sz="6"/>
              <w:bottom w:val="none"/>
              <w:right w:val="none"/>
            </w:tcBorders>
            <w:shd w:fill="EFF6FF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IMPORTANT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Performance et Sécurité sont au cœur d'EduQuiz AI Pro.</w:t>
            </w:r>
          </w:p>
          <w:p>
            <w:pPr>
              <w:spacing w:before="30" w:after="30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Chaque exigence listée ci-dessous est non négociable pour la mise en production.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76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Exigence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⚡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Vitesse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Génération de quiz en moins de 20 secondes.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📱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UX / Design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Design « Responsive First » avec animations fluides.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🔐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Confidentialité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Clés API sécurisées via variables d'environnement (.env).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1" w:space="4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EduQuiz AI Pro  —  Confidentiel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2" w:space="6"/>
      </w:pBdr>
      <w:spacing w:before="0" w:after="120"/>
    </w:pPr>
    <w:r>
      <w:rPr>
        <w:rFonts w:ascii="Arial" w:cs="Arial" w:eastAsia="Arial" w:hAnsi="Arial"/>
        <w:b/>
        <w:bCs/>
        <w:color w:val="1E3A5F"/>
        <w:sz w:val="20"/>
        <w:szCs w:val="20"/>
      </w:rPr>
      <w:t xml:space="preserve">EduQuiz AI Pro</w:t>
    </w:r>
    <w:r>
      <w:rPr>
        <w:rFonts w:ascii="Arial" w:cs="Arial" w:eastAsia="Arial" w:hAnsi="Arial"/>
        <w:color w:val="6B7280"/>
        <w:sz w:val="20"/>
        <w:szCs w:val="20"/>
      </w:rPr>
      <w:t xml:space="preserve">  —  Cahier des Charges</w:t>
    </w:r>
    <w:r>
      <w:rPr>
        <w:rFonts w:ascii="Arial" w:cs="Arial" w:eastAsia="Arial" w:hAnsi="Arial"/>
        <w:color w:val="6B7280"/>
        <w:sz w:val="18"/>
        <w:szCs w:val="18"/>
      </w:rPr>
      <w:t xml:space="preserve">                                                          Version 1.0  | 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280"/>
      </w:pPr>
      <w:rPr>
        <w:color w:val="6B728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rFonts w:ascii="Arial" w:cs="Arial" w:eastAsia="Arial" w:hAnsi="Arial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2026-02-27T15:40:11.579Z</dcterms:created>
  <dcterms:modified xsi:type="dcterms:W3CDTF">2026-02-27T15:40:11.580Z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