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Questions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Mughal school of painting formed the spinal column of different schools of Indian miniature art. Which one of the following painting styles was not affected by Mughal painting?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A: Pahari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B: Rajasthani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C: Kangra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D: Kalighata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Mughal school of painting formed the spinal column of different schools of Indian miniature art. Which one of the following painting styles was not affected by Mughal painting.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sufi saint who maintained that devotional music was</w:t>
              <w:br/>
              <w:t xml:space="preserve"> one way of coming close to God was;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A: Muin-ud-din Chisti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B: Baba Farid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C: Saryid Muhammad Gesudaraz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D: Shah Alam Bukhari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sufi saint who maintained that devotional music was one way of coming close to God was; [1996]</w:t>
              <w:br/>
              <w:t xml:space="preserve"> (a) Muin-ud-din Chisti</w:t>
              <w:br/>
              <w:t xml:space="preserve"> (b) Baba Farid</w:t>
              <w:br/>
              <w:t xml:space="preserve"> (c) Saryid Muhammad Gesudaraz</w:t>
              <w:br/>
              <w:t xml:space="preserve"> (d) Shah Alam Bukhari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