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2.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 5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 r &amp; a</w:t>
              <w:br/>
              <w:t>Select the following code: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1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item1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item5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Fill in the blanks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3.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5.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7.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2.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item1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item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 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item5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item1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item2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item B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E. item3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F. item C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G. item4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H. item D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br/>
              <w:t xml:space="preserve">following pairs: </w:t>
              <w:br/>
              <w:br/>
              <w:t>1. Aurang: In-charge of treasury of the State</w:t>
              <w:br/>
              <w:br/>
              <w:t>2. Banian: Indian agent of the East India Company</w:t>
              <w:br/>
              <w:br/>
              <w:t>3. Mirasidar: Designated revenue payer to the State</w:t>
              <w:br/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