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2026国际政治专业（相辉学堂）-本博融通培养方案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秉持“宽口径、厚基础、重能力、求创新”的人才培养要求，构建“2+X+Y”培养模式（2是通识和专业教育，X是多元发展路径，Y为融合创新能力），致力于培养德智体美劳全面发展的复合型高级专门人才。通过系统的专业教育，毕业生将具备扎实的马克思主义理论素养、全面的科学研究能力、社会调查能力和组织协调能力，能够在高等院校、科研机构从事教学科研工作，或在党政机关、企事业单位胜任外交外事、国际传播、行政管理等专业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培养标准：</w:t>
      </w:r>
      <w:r>
        <w:br/>
      </w:r>
      <w:r>
        <w:rPr>
          <w:rFonts w:ascii="SimSun" w:hAnsi="SimSun"/>
          <w:b w:val="false"/>
          <w:i w:val="false"/>
          <w:color w:val="000000"/>
          <w:sz w:val="21"/>
        </w:rPr>
        <w:t>（1）建立深厚的专业理论根基，具备批判性分析学术文献的能力；</w:t>
      </w:r>
      <w:r>
        <w:br/>
      </w:r>
      <w:r>
        <w:rPr>
          <w:rFonts w:ascii="SimSun" w:hAnsi="SimSun"/>
          <w:b w:val="false"/>
          <w:i w:val="false"/>
          <w:color w:val="000000"/>
          <w:sz w:val="21"/>
        </w:rPr>
        <w:t>（2）精准把握学科前沿动态，熟悉相关一级学科理论体系；</w:t>
      </w:r>
      <w:r>
        <w:br/>
      </w:r>
      <w:r>
        <w:rPr>
          <w:rFonts w:ascii="SimSun" w:hAnsi="SimSun"/>
          <w:b w:val="false"/>
          <w:i w:val="false"/>
          <w:color w:val="000000"/>
          <w:sz w:val="21"/>
        </w:rPr>
        <w:t>（3）具备组织协调学术团队开展专题研究的能力；</w:t>
      </w:r>
      <w:r>
        <w:br/>
      </w:r>
      <w:r>
        <w:rPr>
          <w:rFonts w:ascii="SimSun" w:hAnsi="SimSun"/>
          <w:b w:val="false"/>
          <w:i w:val="false"/>
          <w:color w:val="000000"/>
          <w:sz w:val="21"/>
        </w:rPr>
        <w:t>（4）熟练运用一门外语进行专业文献研读与学术写作；</w:t>
      </w:r>
      <w:r>
        <w:br/>
      </w:r>
      <w:r>
        <w:rPr>
          <w:rFonts w:ascii="SimSun" w:hAnsi="SimSun"/>
          <w:b w:val="false"/>
          <w:i w:val="false"/>
          <w:color w:val="000000"/>
          <w:sz w:val="21"/>
        </w:rPr>
        <w:t>（5）精通现代科研信息技术工具；</w:t>
      </w:r>
      <w:r>
        <w:br/>
      </w:r>
      <w:r>
        <w:rPr>
          <w:rFonts w:ascii="SimSun" w:hAnsi="SimSun"/>
          <w:b w:val="false"/>
          <w:i w:val="false"/>
          <w:color w:val="000000"/>
          <w:sz w:val="21"/>
        </w:rPr>
        <w:t>（6）博士学位论文需达到公开出版学术专著的水准；</w:t>
      </w:r>
      <w:r>
        <w:br/>
      </w:r>
      <w:r>
        <w:rPr>
          <w:rFonts w:ascii="SimSun" w:hAnsi="SimSun"/>
          <w:b w:val="false"/>
          <w:i w:val="false"/>
          <w:color w:val="000000"/>
          <w:sz w:val="21"/>
        </w:rPr>
        <w:t xml:space="preserve">（7）能独立开设两门专业基础课程及一门创新性课程 ； </w:t>
      </w:r>
      <w:r>
        <w:br/>
      </w:r>
      <w:r>
        <w:rPr>
          <w:rFonts w:ascii="SimSun" w:hAnsi="SimSun"/>
          <w:b w:val="false"/>
          <w:i w:val="false"/>
          <w:color w:val="000000"/>
          <w:sz w:val="21"/>
        </w:rPr>
        <w:t>培养模式：构建"导师主导、团队协作"的培养机制：实行主导师负责制，发挥博士点梯队的集体指导优势；推行跨学科联合培养模式，拓宽学术视野，促进多学科交叉融合创新。</w:t>
      </w:r>
    </w:p>
    <w:p>
      <w:pPr>
        <w:spacing w:after="0"/>
        <w:ind w:left="0"/>
        <w:jc w:val="left"/>
      </w:pPr>
      <w:r>
        <w:drawing>
          <wp:inline distT="0" distB="0" distL="0" distR="0">
            <wp:extent cx="5732145" cy="181892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18923"/>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国际政治专业本科“2+X+Y”培养方案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政治学-国际政治学术学位硕士培养方案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175</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通识教育课程42学分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专业培养课程64学分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专业进阶模块55学分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博期间必须修满教学计划规定的175学分（含实践学分不低于26.5学分；含美育学分不少于2学分，其中至少在“美学和艺术史论类”或“艺术鉴赏和评论类”课程中修读1学分，并至少参与一项艺术实践活动；劳动教育不少于32学时，并满足劳动周教育要求），包括通识教育课程42学分、全球领导力课程64学分、本研融通衔接课程25学分、硕博高阶课程模块30学分，满足融合创新能力模块要求的修读。</w:t>
      </w:r>
      <w:r>
        <w:br/>
      </w:r>
      <w:r>
        <w:rPr>
          <w:rFonts w:ascii="SimSun" w:hAnsi="SimSun"/>
          <w:b w:val="false"/>
          <w:i w:val="false"/>
          <w:color w:val="000000"/>
          <w:sz w:val="21"/>
        </w:rPr>
        <w:t>其中，本科学段需要完成137学分，包括通识教育课程42学分、全球领导力课程64学分，同时满足融合创新能力模块要求的修读。</w:t>
      </w:r>
    </w:p>
    <w:p>
      <w:pPr>
        <w:spacing w:after="0"/>
        <w:ind w:left="0"/>
        <w:jc w:val="left"/>
      </w:pPr>
      <w:r>
        <w:drawing>
          <wp:inline distT="0" distB="0" distL="0" distR="0">
            <wp:extent cx="5732145" cy="19875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7561"/>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四年级结束时，如达到学位要求者授予法学学士学位。</w:t>
      </w:r>
      <w:r>
        <w:br/>
      </w:r>
      <w:r>
        <w:rPr>
          <w:rFonts w:ascii="SimSun" w:hAnsi="SimSun"/>
          <w:b w:val="false"/>
          <w:i w:val="false"/>
          <w:color w:val="000000"/>
          <w:sz w:val="21"/>
        </w:rPr>
        <w:t>（二）研究生学位</w:t>
      </w:r>
      <w:r>
        <w:br/>
      </w:r>
      <w:r>
        <w:rPr>
          <w:rFonts w:ascii="SimSun" w:hAnsi="SimSun"/>
          <w:b w:val="false"/>
          <w:i w:val="false"/>
          <w:color w:val="000000"/>
          <w:sz w:val="21"/>
        </w:rPr>
        <w:t>达到博士学位要求者授予法学博士学位。</w:t>
      </w:r>
      <w:r>
        <w:br/>
      </w:r>
      <w:r>
        <w:rPr>
          <w:rFonts w:ascii="SimSun" w:hAnsi="SimSun"/>
          <w:b w:val="false"/>
          <w:i w:val="false"/>
          <w:color w:val="000000"/>
          <w:sz w:val="21"/>
        </w:rPr>
        <w:t>（1）博士学位申请人提出学位论文答辩申请时，必须已修满学校规定的学分；所有修读课程成绩合格，其中学位课程平均绩点原则上不低于2.5。</w:t>
      </w:r>
      <w:r>
        <w:br/>
      </w:r>
      <w:r>
        <w:rPr>
          <w:rFonts w:ascii="SimSun" w:hAnsi="SimSun"/>
          <w:b w:val="false"/>
          <w:i w:val="false"/>
          <w:color w:val="000000"/>
          <w:sz w:val="21"/>
        </w:rPr>
        <w:t>（2）具体参照《复旦大学学位授予工作细则》《复旦大学博士学位基本要求》或所属一级学科或专业学位类别的《学位授予标准》及院系相关文件规定执行。</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46976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469760"/>
                    </a:xfrm>
                    <a:prstGeom prst="rect">
                      <a:avLst/>
                    </a:prstGeom>
                  </pic:spPr>
                </pic:pic>
              </a:graphicData>
            </a:graphic>
          </wp:inline>
        </w:drawing>
      </w:r>
    </w:p>
    <w:p>
      <w:pPr>
        <w:spacing w:after="0"/>
        <w:ind w:left="0"/>
        <w:jc w:val="left"/>
      </w:pPr>
      <w:r>
        <w:t>[MISSING IMAGE: ,  ]</w:t>
      </w:r>
      <w:r>
        <w:t>[MISSING IMAGE: ,  ]</w:t>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国际政治课程体系包括理论、方法、历史、制度体系、政策治理、区域国别、实践实务等七大板块。全球领导力核心课程体系包括基础课程包、专业核心课程包和多元发展的专业进阶课程，难度逐级提升。为鼓励学生的多元发展，学生可自行选择修读X课程模块，包括本博学术创新衔接课程包，博士学术创新高阶课程模块。鼓励学生修读荣誉课程。</w:t>
      </w:r>
      <w:r>
        <w:br/>
      </w:r>
      <w:r>
        <w:rPr>
          <w:rFonts w:ascii="SimSun" w:hAnsi="SimSun"/>
          <w:b w:val="false"/>
          <w:i w:val="false"/>
          <w:color w:val="000000"/>
          <w:sz w:val="21"/>
        </w:rPr>
        <w:t>2.科研训练体系</w:t>
      </w:r>
      <w:r>
        <w:br/>
      </w:r>
      <w:r>
        <w:rPr>
          <w:rFonts w:ascii="SimSun" w:hAnsi="SimSun"/>
          <w:b w:val="false"/>
          <w:i w:val="false"/>
          <w:color w:val="000000"/>
          <w:sz w:val="21"/>
        </w:rPr>
        <w:t>本博导师组式学术创新训练体系旨在整合优质学术资源，推动学生课堂外学术参与、学术训练制度化、规范化，促进本博融通轨道学生熟悉研究规范，培养研究兴趣，提升科研能力，构建全链条长周期学术科研培养支持体系。</w:t>
      </w:r>
    </w:p>
    <w:p>
      <w:pPr>
        <w:spacing w:after="0"/>
        <w:ind w:left="0"/>
        <w:jc w:val="left"/>
      </w:pPr>
      <w:r>
        <w:rPr>
          <w:rFonts w:ascii="SimSun" w:hAnsi="SimSun"/>
          <w:b w:val="false"/>
          <w:i w:val="false"/>
          <w:color w:val="000000"/>
          <w:sz w:val="21"/>
        </w:rPr>
        <w:t xml:space="preserve">·本科阶段培养设计        </w:t>
      </w:r>
      <w:r>
        <w:br/>
      </w:r>
      <w:r>
        <w:rPr>
          <w:rFonts w:ascii="SimSun" w:hAnsi="SimSun"/>
          <w:b w:val="false"/>
          <w:i w:val="false"/>
          <w:color w:val="000000"/>
          <w:sz w:val="21"/>
        </w:rPr>
        <w:t>本科阶段将FDUROP（复旦大学本科生学术研究资助计划）、国务学院“薪火计划”列为本博融通轨道学生必修项目。学生可择其一进行修读。</w:t>
      </w:r>
      <w:r>
        <w:br/>
      </w:r>
      <w:r>
        <w:rPr>
          <w:rFonts w:ascii="SimSun" w:hAnsi="SimSun"/>
          <w:b w:val="false"/>
          <w:i w:val="false"/>
          <w:color w:val="000000"/>
          <w:sz w:val="21"/>
        </w:rPr>
        <w:t xml:space="preserve"> 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w:t>
      </w:r>
      <w:r>
        <w:br/>
      </w:r>
      <w:r>
        <w:rPr>
          <w:rFonts w:ascii="SimSun" w:hAnsi="SimSun"/>
          <w:b w:val="false"/>
          <w:i w:val="false"/>
          <w:color w:val="000000"/>
          <w:sz w:val="21"/>
        </w:rPr>
        <w:t>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w:t>
      </w:r>
      <w:r>
        <w:br/>
      </w:r>
      <w:r>
        <w:rPr>
          <w:rFonts w:ascii="SimSun" w:hAnsi="SimSun"/>
          <w:b w:val="false"/>
          <w:i w:val="false"/>
          <w:color w:val="000000"/>
          <w:sz w:val="21"/>
        </w:rPr>
        <w:t>修读方式二：学生在本科阶段第三学年末或第四学年初规定时间前至少完成1项国务“薪火计划”教师课题（一年期以上）。完成认定以教师课题负责人出具的证明材料为准。</w:t>
      </w:r>
      <w:r>
        <w:br/>
      </w: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r>
        <w:br/>
      </w:r>
      <w:r>
        <w:rPr>
          <w:rFonts w:ascii="SimSun" w:hAnsi="SimSun"/>
          <w:b w:val="false"/>
          <w:i w:val="false"/>
          <w:color w:val="000000"/>
          <w:sz w:val="21"/>
        </w:rPr>
        <w:t>·博士研究生阶段培养设计</w:t>
      </w:r>
      <w:r>
        <w:br/>
      </w:r>
      <w:r>
        <w:rPr>
          <w:rFonts w:ascii="SimSun" w:hAnsi="SimSun"/>
          <w:b w:val="false"/>
          <w:i w:val="false"/>
          <w:color w:val="000000"/>
          <w:sz w:val="21"/>
        </w:rPr>
        <w:t>博士研究生阶段将参与学院重大科研项目作为本博融通轨道学生必修项目。学院重大科研项目具体认定标准由学院另行规定。</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每学期选修学分不得超过32学分。</w:t>
      </w:r>
    </w:p>
    <w:p>
      <w:pPr>
        <w:spacing w:after="0"/>
        <w:ind w:left="0"/>
        <w:jc w:val="left"/>
      </w:pPr>
      <w:r>
        <w:rPr>
          <w:rFonts w:ascii="SimSun" w:hAnsi="SimSun"/>
          <w:b/>
          <w:i w:val="false"/>
          <w:color w:val="000000"/>
          <w:sz w:val="21"/>
        </w:rPr>
        <w:t xml:space="preserve">
       (一) 通识教育课程（42学分,本科要求38.0学分）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专业培养课程（64学分,本科要求64.0学分）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学科基础课程（33学分,本科要求33.0学分）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专业核心教育课程（31学分,本科要求31.0学分）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国际安全概论</w:t>
            </w:r>
            <w:r>
              <w:br/>
            </w:r>
            <w:r>
              <w:rPr>
                <w:rFonts w:ascii="SimSun" w:hAnsi="SimSun"/>
                <w:b w:val="false"/>
                <w:i w:val="false"/>
                <w:color w:val="000000"/>
                <w:sz w:val="21"/>
              </w:rPr>
              <w:t>Introduction to International Security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POLI20001</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包括本博学术创新衔接课程包，博士学术创新高阶课程模块，按路径要求修读课程。
      </w:t>
      </w:r>
    </w:p>
    <w:p>
      <w:pPr>
        <w:spacing w:after="0"/>
        <w:ind w:left="0"/>
        <w:jc w:val="left"/>
      </w:pPr>
      <w:r>
        <w:rPr>
          <w:rFonts w:ascii="SimSun" w:hAnsi="SimSun"/>
          <w:b/>
          <w:i w:val="false"/>
          <w:color w:val="000000"/>
          <w:sz w:val="21"/>
        </w:rPr>
        <w:t xml:space="preserve">
       1.  专业进阶路径（55学分）
      </w:t>
      </w:r>
    </w:p>
    <w:p>
      <w:pPr>
        <w:spacing w:after="0"/>
        <w:ind w:left="0"/>
        <w:jc w:val="left"/>
      </w:pPr>
      <w:r>
        <w:rPr>
          <w:rFonts w:ascii="SimSun" w:hAnsi="SimSun"/>
          <w:b/>
          <w:i w:val="false"/>
          <w:color w:val="000000"/>
          <w:sz w:val="21"/>
        </w:rPr>
        <w:t xml:space="preserve">
       (1) 专业进阶I（25学分,本科要求10.0学分）
      </w:t>
      </w:r>
    </w:p>
    <w:p>
      <w:pPr>
        <w:spacing w:after="0"/>
        <w:ind w:left="0"/>
        <w:jc w:val="left"/>
      </w:pPr>
      <w:r>
        <w:rPr>
          <w:rFonts w:ascii="SimSun" w:hAnsi="SimSun"/>
          <w:b w:val="false"/>
          <w:i w:val="false"/>
          <w:color w:val="000000"/>
          <w:sz w:val="21"/>
        </w:rPr>
        <w:t xml:space="preserve">
       I.本博学术创新衔接课程包（25学分）。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中国外交文献选读</w:t>
            </w:r>
            <w:r>
              <w:br/>
            </w:r>
            <w:r>
              <w:rPr>
                <w:rFonts w:ascii="SimSun" w:hAnsi="SimSun"/>
                <w:b w:val="false"/>
                <w:i w:val="false"/>
                <w:color w:val="000000"/>
                <w:sz w:val="21"/>
              </w:rPr>
              <w:t>Classic Readings on Chinese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国际政治文献选读</w:t>
            </w:r>
            <w:r>
              <w:br/>
            </w:r>
            <w:r>
              <w:rPr>
                <w:rFonts w:ascii="SimSun" w:hAnsi="SimSun"/>
                <w:b w:val="false"/>
                <w:i w:val="false"/>
                <w:color w:val="000000"/>
                <w:sz w:val="21"/>
              </w:rPr>
              <w:t>Selected Readings in International Politics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贸易与国际关系</w:t>
            </w:r>
            <w:r>
              <w:br/>
            </w:r>
            <w:r>
              <w:rPr>
                <w:rFonts w:ascii="SimSun" w:hAnsi="SimSun"/>
                <w:b w:val="false"/>
                <w:i w:val="false"/>
                <w:color w:val="000000"/>
                <w:sz w:val="21"/>
              </w:rPr>
              <w:t>Trade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宗教与国际关系</w:t>
            </w:r>
            <w:r>
              <w:br/>
            </w:r>
            <w:r>
              <w:rPr>
                <w:rFonts w:ascii="SimSun" w:hAnsi="SimSun"/>
                <w:b w:val="false"/>
                <w:i w:val="false"/>
                <w:color w:val="000000"/>
                <w:sz w:val="21"/>
              </w:rPr>
              <w:t>Religion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环境与国际关系</w:t>
            </w:r>
            <w:r>
              <w:br/>
            </w:r>
            <w:r>
              <w:rPr>
                <w:rFonts w:ascii="SimSun" w:hAnsi="SimSun"/>
                <w:b w:val="false"/>
                <w:i w:val="false"/>
                <w:color w:val="000000"/>
                <w:sz w:val="21"/>
              </w:rPr>
              <w:t>Environment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能源与国际关系</w:t>
            </w:r>
            <w:r>
              <w:br/>
            </w:r>
            <w:r>
              <w:rPr>
                <w:rFonts w:ascii="SimSun" w:hAnsi="SimSun"/>
                <w:b w:val="false"/>
                <w:i w:val="false"/>
                <w:color w:val="000000"/>
                <w:sz w:val="21"/>
              </w:rPr>
              <w:t>Energy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国际传播与人文交流</w:t>
            </w:r>
            <w:r>
              <w:br/>
            </w:r>
            <w:r>
              <w:rPr>
                <w:rFonts w:ascii="SimSun" w:hAnsi="SimSun"/>
                <w:b w:val="false"/>
                <w:i w:val="false"/>
                <w:color w:val="000000"/>
                <w:sz w:val="21"/>
              </w:rPr>
              <w:t>International Communication and People-to-People Exchange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拉美政治与对外关系</w:t>
            </w:r>
            <w:r>
              <w:br/>
            </w:r>
            <w:r>
              <w:rPr>
                <w:rFonts w:ascii="SimSun" w:hAnsi="SimSun"/>
                <w:b w:val="false"/>
                <w:i w:val="false"/>
                <w:color w:val="000000"/>
                <w:sz w:val="21"/>
              </w:rPr>
              <w:t>Latin 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专业进阶II（30学分）
      </w:t>
      </w:r>
    </w:p>
    <w:p>
      <w:pPr>
        <w:spacing w:after="0"/>
        <w:ind w:left="0"/>
        <w:jc w:val="left"/>
      </w:pPr>
      <w:r>
        <w:rPr>
          <w:rFonts w:ascii="SimSun" w:hAnsi="SimSun"/>
          <w:b w:val="false"/>
          <w:i w:val="false"/>
          <w:color w:val="000000"/>
          <w:sz w:val="21"/>
        </w:rPr>
        <w:t xml:space="preserve">
       II.博士学术创新高阶课程模块（30学分）
      </w:t>
      </w:r>
    </w:p>
    <w:tbl>
      <w:tblPr>
        <w:tblW w:w="0" w:type="auto"/>
        <w:tblCellSpacing w:w="0" w:type="auto"/>
        <w:tblBorders>
          <w:top w:val="none"/>
          <w:left w:val="none"/>
          <w:bottom w:val="none"/>
          <w:right w:val="none"/>
          <w:insideH w:val="none"/>
          <w:insideV w:val="none"/>
        </w:tblBorders>
      </w:tblPr>
      <w:tblGrid>
        <w:gridCol w:w="3240"/>
        <w:gridCol w:w="809"/>
        <w:gridCol w:w="809"/>
        <w:gridCol w:w="1134"/>
        <w:gridCol w:w="1640"/>
        <w:gridCol w:w="809"/>
        <w:gridCol w:w="809"/>
        <w:gridCol w:w="809"/>
        <w:gridCol w:w="819"/>
        <w:gridCol w:w="1134"/>
        <w:gridCol w:w="1622"/>
      </w:tblGrid>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马克思主义政治学经典文献选读</w:t>
            </w:r>
            <w:r>
              <w:br/>
            </w:r>
            <w:r>
              <w:rPr>
                <w:rFonts w:ascii="SimSun" w:hAnsi="SimSun"/>
                <w:b w:val="false"/>
                <w:i w:val="false"/>
                <w:color w:val="000000"/>
                <w:sz w:val="21"/>
              </w:rPr>
              <w:t>Selected Readings of Classic Literature on Marxist Political Science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当代中国政治行政经典文献选读</w:t>
            </w:r>
            <w:r>
              <w:br/>
            </w:r>
            <w:r>
              <w:rPr>
                <w:rFonts w:ascii="SimSun" w:hAnsi="SimSun"/>
                <w:b w:val="false"/>
                <w:i w:val="false"/>
                <w:color w:val="000000"/>
                <w:sz w:val="21"/>
              </w:rPr>
              <w:t>Classic Literature on Contemporary Chinese Politics and Administration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研究设计与论文写作</w:t>
            </w:r>
            <w:r>
              <w:br/>
            </w:r>
            <w:r>
              <w:rPr>
                <w:rFonts w:ascii="SimSun" w:hAnsi="SimSun"/>
                <w:b w:val="false"/>
                <w:i w:val="false"/>
                <w:color w:val="000000"/>
                <w:sz w:val="21"/>
              </w:rPr>
              <w:t>Research Design and Essay Writing</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国际关系前沿理论</w:t>
            </w:r>
            <w:r>
              <w:br/>
            </w:r>
            <w:r>
              <w:rPr>
                <w:rFonts w:ascii="SimSun" w:hAnsi="SimSun"/>
                <w:b w:val="false"/>
                <w:i w:val="false"/>
                <w:color w:val="000000"/>
                <w:sz w:val="21"/>
              </w:rPr>
              <w:t>Advanced  International Relations Theory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外交学前沿专题</w:t>
            </w:r>
            <w:r>
              <w:br/>
            </w:r>
            <w:r>
              <w:rPr>
                <w:rFonts w:ascii="SimSun" w:hAnsi="SimSun"/>
                <w:b w:val="false"/>
                <w:i w:val="false"/>
                <w:color w:val="000000"/>
                <w:sz w:val="21"/>
              </w:rPr>
              <w:t>Advanced Studies on Diplomacy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POLI70008</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国际政治经济学前沿专题</w:t>
            </w:r>
            <w:r>
              <w:br/>
            </w:r>
            <w:r>
              <w:rPr>
                <w:rFonts w:ascii="SimSun" w:hAnsi="SimSun"/>
                <w:b w:val="false"/>
                <w:i w:val="false"/>
                <w:color w:val="000000"/>
                <w:sz w:val="21"/>
              </w:rPr>
              <w:t>Advanced Studies on International Political Economy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比较政治制度专题研究</w:t>
            </w:r>
            <w:r>
              <w:br/>
            </w:r>
            <w:r>
              <w:rPr>
                <w:rFonts w:ascii="SimSun" w:hAnsi="SimSun"/>
                <w:b w:val="false"/>
                <w:i w:val="false"/>
                <w:color w:val="000000"/>
                <w:sz w:val="21"/>
              </w:rPr>
              <w:t>Advanced Studies on Comparative Political Institutional Studies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比较政治学前沿理论</w:t>
            </w:r>
            <w:r>
              <w:br/>
            </w:r>
            <w:r>
              <w:rPr>
                <w:rFonts w:ascii="SimSun" w:hAnsi="SimSun"/>
                <w:b w:val="false"/>
                <w:i w:val="false"/>
                <w:color w:val="000000"/>
                <w:sz w:val="21"/>
              </w:rPr>
              <w:t>Frontier Theories in Comparative Politics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中国式现代化研究</w:t>
            </w:r>
            <w:r>
              <w:br/>
            </w:r>
            <w:r>
              <w:rPr>
                <w:rFonts w:ascii="SimSun" w:hAnsi="SimSun"/>
                <w:b w:val="false"/>
                <w:i w:val="false"/>
                <w:color w:val="000000"/>
                <w:sz w:val="21"/>
              </w:rPr>
              <w:t>Research on the Chinese Path to Modernization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国家安全学前沿专题</w:t>
            </w:r>
            <w:r>
              <w:br/>
            </w:r>
            <w:r>
              <w:rPr>
                <w:rFonts w:ascii="SimSun" w:hAnsi="SimSun"/>
                <w:b w:val="false"/>
                <w:i w:val="false"/>
                <w:color w:val="000000"/>
                <w:sz w:val="21"/>
              </w:rPr>
              <w:t>Advanced Studies on National Security Studies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POLI80002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中国外交专题研究</w:t>
            </w:r>
            <w:r>
              <w:br/>
            </w:r>
            <w:r>
              <w:rPr>
                <w:rFonts w:ascii="SimSun" w:hAnsi="SimSun"/>
                <w:b w:val="false"/>
                <w:i w:val="false"/>
                <w:color w:val="000000"/>
                <w:sz w:val="21"/>
              </w:rPr>
              <w:t>Advanced Studies on Chinese Diplomacy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国际关系史专题研究</w:t>
            </w:r>
            <w:r>
              <w:br/>
            </w:r>
            <w:r>
              <w:rPr>
                <w:rFonts w:ascii="SimSun" w:hAnsi="SimSun"/>
                <w:b w:val="false"/>
                <w:i w:val="false"/>
                <w:color w:val="000000"/>
                <w:sz w:val="21"/>
              </w:rPr>
              <w:t>Advanced Studies on the History of International Relations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中国外交史专题研究</w:t>
            </w:r>
            <w:r>
              <w:br/>
            </w:r>
            <w:r>
              <w:rPr>
                <w:rFonts w:ascii="SimSun" w:hAnsi="SimSun"/>
                <w:b w:val="false"/>
                <w:i w:val="false"/>
                <w:color w:val="000000"/>
                <w:sz w:val="21"/>
              </w:rPr>
              <w:t>Advanced Studies on the History of China’s Foreign Relations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国际组织专题研究</w:t>
            </w:r>
            <w:r>
              <w:br/>
            </w:r>
            <w:r>
              <w:rPr>
                <w:rFonts w:ascii="SimSun" w:hAnsi="SimSun"/>
                <w:b w:val="false"/>
                <w:i w:val="false"/>
                <w:color w:val="000000"/>
                <w:sz w:val="21"/>
              </w:rPr>
              <w:t>Advanced Studies on International organization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POLI70017</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国际发展专题研究</w:t>
            </w:r>
            <w:r>
              <w:br/>
            </w:r>
            <w:r>
              <w:rPr>
                <w:rFonts w:ascii="SimSun" w:hAnsi="SimSun"/>
                <w:b w:val="false"/>
                <w:i w:val="false"/>
                <w:color w:val="000000"/>
                <w:sz w:val="21"/>
              </w:rPr>
              <w:t>Advanced Studies on International Development</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国际安全专题研究</w:t>
            </w:r>
            <w:r>
              <w:br/>
            </w:r>
            <w:r>
              <w:rPr>
                <w:rFonts w:ascii="SimSun" w:hAnsi="SimSun"/>
                <w:b w:val="false"/>
                <w:i w:val="false"/>
                <w:color w:val="000000"/>
                <w:sz w:val="21"/>
              </w:rPr>
              <w:t>Advanced Studies on International Security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POLI60017</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国际制度专题研究</w:t>
            </w:r>
            <w:r>
              <w:br/>
            </w:r>
            <w:r>
              <w:rPr>
                <w:rFonts w:ascii="SimSun" w:hAnsi="SimSun"/>
                <w:b w:val="false"/>
                <w:i w:val="false"/>
                <w:color w:val="000000"/>
                <w:sz w:val="21"/>
              </w:rPr>
              <w:t>International Institutions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POLI60053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国际法专题研究</w:t>
            </w:r>
            <w:r>
              <w:br/>
            </w:r>
            <w:r>
              <w:rPr>
                <w:rFonts w:ascii="SimSun" w:hAnsi="SimSun"/>
                <w:b w:val="false"/>
                <w:i w:val="false"/>
                <w:color w:val="000000"/>
                <w:sz w:val="21"/>
              </w:rPr>
              <w:t>Advanced Studies on International Law</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国际秩序专题研究</w:t>
            </w:r>
            <w:r>
              <w:br/>
            </w:r>
            <w:r>
              <w:rPr>
                <w:rFonts w:ascii="SimSun" w:hAnsi="SimSun"/>
                <w:b w:val="false"/>
                <w:i w:val="false"/>
                <w:color w:val="000000"/>
                <w:sz w:val="21"/>
              </w:rPr>
              <w:t>Advanced Studies on International Order</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网络空间治理专题研究</w:t>
            </w:r>
            <w:r>
              <w:br/>
            </w:r>
            <w:r>
              <w:rPr>
                <w:rFonts w:ascii="SimSun" w:hAnsi="SimSun"/>
                <w:b w:val="false"/>
                <w:i w:val="false"/>
                <w:color w:val="000000"/>
                <w:sz w:val="21"/>
              </w:rPr>
              <w:t>Advanced Studies on Cyberspace Governance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美国专题研究</w:t>
            </w:r>
            <w:r>
              <w:br/>
            </w:r>
            <w:r>
              <w:rPr>
                <w:rFonts w:ascii="SimSun" w:hAnsi="SimSun"/>
                <w:b w:val="false"/>
                <w:i w:val="false"/>
                <w:color w:val="000000"/>
                <w:sz w:val="21"/>
              </w:rPr>
              <w:t>Advanced Studies on America</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欧洲专题研究</w:t>
            </w:r>
            <w:r>
              <w:br/>
            </w:r>
            <w:r>
              <w:rPr>
                <w:rFonts w:ascii="SimSun" w:hAnsi="SimSun"/>
                <w:b w:val="false"/>
                <w:i w:val="false"/>
                <w:color w:val="000000"/>
                <w:sz w:val="21"/>
              </w:rPr>
              <w:t>Advanced Studies on European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全球南方专题研究</w:t>
            </w:r>
            <w:r>
              <w:br/>
            </w:r>
            <w:r>
              <w:rPr>
                <w:rFonts w:ascii="SimSun" w:hAnsi="SimSun"/>
                <w:b w:val="false"/>
                <w:i w:val="false"/>
                <w:color w:val="000000"/>
                <w:sz w:val="21"/>
              </w:rPr>
              <w:t>Advanced Studies on the Global South Issues</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POLI70007</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本科阶段将FDUROP（复旦大学本科生学术研究资助计划）、国务学院“薪火计划”列为本博融通轨道学生必修项目。学生可择其一进行修读。
       </w:t>
      </w:r>
      <w:r>
        <w:br/>
      </w:r>
      <w:r>
        <w:rPr>
          <w:rFonts w:ascii="SimSun" w:hAnsi="SimSun"/>
          <w:b w:val="false"/>
          <w:i w:val="false"/>
          <w:color w:val="000000"/>
          <w:sz w:val="21"/>
        </w:rPr>
        <w:t xml:space="preserve">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
       </w:t>
      </w:r>
      <w:r>
        <w:br/>
      </w:r>
      <w:r>
        <w:rPr>
          <w:rFonts w:ascii="SimSun" w:hAnsi="SimSun"/>
          <w:b w:val="false"/>
          <w:i w:val="false"/>
          <w:color w:val="000000"/>
          <w:sz w:val="21"/>
        </w:rPr>
        <w:t xml:space="preserve">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
       </w:t>
      </w:r>
      <w:r>
        <w:br/>
      </w:r>
      <w:r>
        <w:rPr>
          <w:rFonts w:ascii="SimSun" w:hAnsi="SimSun"/>
          <w:b w:val="false"/>
          <w:i w:val="false"/>
          <w:color w:val="000000"/>
          <w:sz w:val="21"/>
        </w:rPr>
        <w:t xml:space="preserve">修读方式二：学生在本科阶段第三学年末或第四学年初规定时间前至少完成1项国务“薪火计划”教师课题（一年期以上）。完成认定以教师课题负责人出具的证明材料为准。
       </w:t>
      </w:r>
      <w:r>
        <w:br/>
      </w:r>
      <w:r>
        <w:rPr>
          <w:rFonts w:ascii="SimSun" w:hAnsi="SimSun"/>
          <w:b w:val="false"/>
          <w:i w:val="false"/>
          <w:color w:val="000000"/>
          <w:sz w:val="21"/>
        </w:rPr>
        <w:t xml:space="preserve">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
       </w:t>
      </w:r>
      <w:r>
        <w:br/>
      </w:r>
      <w:r>
        <w:rPr>
          <w:rFonts w:ascii="SimSun" w:hAnsi="SimSun"/>
          <w:b w:val="false"/>
          <w:i w:val="false"/>
          <w:color w:val="000000"/>
          <w:sz w:val="21"/>
        </w:rPr>
        <w:t xml:space="preserve">2.博士研究生阶段培养设计
       </w:t>
      </w:r>
      <w:r>
        <w:br/>
      </w:r>
      <w:r>
        <w:rPr>
          <w:rFonts w:ascii="SimSun" w:hAnsi="SimSun"/>
          <w:b w:val="false"/>
          <w:i w:val="false"/>
          <w:color w:val="000000"/>
          <w:sz w:val="21"/>
        </w:rPr>
        <w:t xml:space="preserve">博士研究生阶段将参与学院重大科研项目作为本博融通轨道学生必修项目。学院重大科研项目具体认定标准由学院另行规定。
      </w:t>
      </w:r>
    </w:p>
    <w:tbl>
      <w:tblPr>
        <w:tblW w:w="0" w:type="auto"/>
        <w:tblCellSpacing w:w="0" w:type="auto"/>
        <w:tblBorders>
          <w:top w:val="none"/>
          <w:left w:val="none"/>
          <w:bottom w:val="none"/>
          <w:right w:val="none"/>
          <w:insideH w:val="none"/>
          <w:insideV w:val="none"/>
        </w:tblBorders>
      </w:tblPr>
      <w:tblGrid>
        <w:gridCol w:w="3181"/>
        <w:gridCol w:w="795"/>
        <w:gridCol w:w="795"/>
        <w:gridCol w:w="1113"/>
        <w:gridCol w:w="1813"/>
        <w:gridCol w:w="795"/>
        <w:gridCol w:w="795"/>
        <w:gridCol w:w="795"/>
        <w:gridCol w:w="795"/>
        <w:gridCol w:w="1114"/>
        <w:gridCol w:w="1643"/>
      </w:tblGrid>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4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FDUROP（复旦大学本科生学术研究资助计划）和国务学院“薪火计划”	 必修2选1
1.FDUROP（复旦大学本科生学术研究资助计划）
第3学年末或第4学年初规定时间前，以项目负责人或负责人之外项目排名第二的成员身份至少完成1项FDUROP项目立项。修读认定以项目立项证明材料为准，项目能否设置负责人外成员参照学校政策安排。
2.国务学院“薪火计划”
第3学年末或第3学年初规定时间前至少完成1项国务“薪火计划”教师课题（一年期以上）。完成认定以教师课题负责人出具的证明材料为准。</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本博导师组式学术创新训练体系-博士研究生阶段培养设计
博士研究生阶段将参与学院重大科研项目作为本博融通轨道学生必修项目。学院重大科研项目具体认定标准由学院另行规定。</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学术活动的次数、考核方式及基本要求 每位博士生在学四年内，要选择本专业范围内的一个理论问题，面向本专业研究生举行1至2次公开学术讲座。 基本要求是：（1）讲座的论题有一定的理论和现实意义；（2）有一定创见并能作较深入的分析和论证；（3）表达清晰，逻辑严密。根据准备的讲稿和听众的反映进行考核和打分。 每位博士生在中期考核之前必须参加校庆学术研讨会和其他学术报告会至少各1次，并做专题发言，发言提纲在中期考核汇报时提交考核小组。</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实践的基本范围或基本形式 （1）开展理论研究，训练写作能力，在学期间要在核心期刊发表论文两篇以上或权威期刊发表论文一篇以上。 （2）在学期间开办1—2次专题学术讲座，以训练理论概括、分析能力和表达能力。 （3）根据学校工作需要，担任本科生专业课助教，并讲授1次；或根据学校工作需要，参与社会实践或重大学术研究活动（至少一项），以训练组织能力以及理论分析和概括能力。</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原则上应到具有世界一流水平的国内外机构进行至少一学期（累计）的学习、研究或联合培养。需具有参加高水平国际学术会议并作报告的经历。</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在第11学期初完成（第6学年初和第7学年初有2次申请机会)</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在第13学期初完成（博资考通过一年内应完成开题）详见国务学院论文开题实施细则</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在第14学期完成，见国务学院中期考核实施细则</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博士学位论文预审由院系组织，具体参照《复旦大学博士、硕士学位论文预审办法》《复旦大学博士研究生培养分流退出实施办法》及院系相关文件规定执行。</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4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4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5" w:type="dxa"/>
            <w:tcBorders>
              <w:top w:val="single" w:color="000000" w:sz="8"/>
              <w:left w:val="single" w:color="000000" w:sz="8"/>
            </w:tcBorders>
            <w:tcMar>
              <w:top w:w="15" w:type="dxa"/>
              <w:left w:w="15" w:type="dxa"/>
              <w:bottom w:w="15" w:type="dxa"/>
              <w:right w:w="15" w:type="dxa"/>
            </w:tcMar>
            <w:vAlign w:val="center"/>
          </w:tcPr>
          <w:p/>
        </w:tc>
        <w:tc>
          <w:tcPr>
            <w:tcW w:w="795" w:type="dxa"/>
            <w:tcBorders>
              <w:top w:val="single" w:color="000000" w:sz="8"/>
              <w:left w:val="single" w:color="000000" w:sz="8"/>
            </w:tcBorders>
            <w:tcMar>
              <w:top w:w="15" w:type="dxa"/>
              <w:left w:w="15" w:type="dxa"/>
              <w:bottom w:w="15" w:type="dxa"/>
              <w:right w:w="15" w:type="dxa"/>
            </w:tcMar>
            <w:vAlign w:val="center"/>
          </w:tcPr>
          <w:p/>
        </w:tc>
        <w:tc>
          <w:tcPr>
            <w:tcW w:w="7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1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4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相辉前沿专题</w:t>
            </w:r>
            <w:r>
              <w:br/>
            </w:r>
            <w:r>
              <w:rPr>
                <w:rFonts w:ascii="SimSun" w:hAnsi="SimSun"/>
                <w:b w:val="false"/>
                <w:i w:val="false"/>
                <w:color w:val="000000"/>
                <w:sz w:val="21"/>
              </w:rPr>
              <w:t>Xianghui Frontier Lecutres</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MATH10025</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4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