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国际关系与公共事务学院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2026国际政治专业-政治学-本硕融通培养方案（留学生适用）</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国际关系与公共事务学院成立于2000年11月，前身为1923年建立的复旦大学政治学系。百年政心赓续，问道政学、作育国士。目前拥有政治学和公共管理两个国家A类学科，是国家“双一流”学科建设单位，在世界大学专业排名中稳居前列。秉承“卓越为公”理念，培养新时代具有全球视野、国家意识和专业才能的领军人才。</w:t>
      </w:r>
      <w:r>
        <w:br/>
      </w:r>
      <w:r>
        <w:rPr>
          <w:rFonts w:ascii="SimSun" w:hAnsi="SimSun"/>
          <w:b w:val="false"/>
          <w:i w:val="false"/>
          <w:color w:val="000000"/>
          <w:sz w:val="21"/>
        </w:rPr>
        <w:t>国际政治专业为国家级一流本科建设专业，主要方向包括：国际关系理论、大国战略和大国关系、中国对外战略和对外关系、国际安全与国家安全、全球治理与国际组织、全球发展、宗教与国际关系、美国研究、欧洲研究、亚太研究、金砖国家与全球南方等。</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本专业秉持“宽口径、厚基础、重能力、求创新”的人才培养要求，构建“2+X+Y”特色培养模式（2是通识和专业教育，X是多元发展路径，Y为融合创新能力），致力于培养德智体美劳全面发展的复合型高级专门人才。通过系统的专业教育，毕业生将具备扎实的马克思主义理论素养、全面的科学研究能力、社会调查能力和组织协调能力，能在党政机关、企事业单位从事外交、外事、外宣和管理等工作。</w:t>
      </w:r>
    </w:p>
    <w:p>
      <w:pPr>
        <w:spacing w:after="0"/>
        <w:ind w:left="0"/>
        <w:jc w:val="left"/>
      </w:pPr>
      <w:r>
        <w:rPr>
          <w:rFonts w:ascii="SimSun" w:hAnsi="SimSun"/>
          <w:b/>
          <w:i w:val="false"/>
          <w:color w:val="000000"/>
          <w:sz w:val="24"/>
        </w:rPr>
        <w:t xml:space="preserve">
       三.    基本要求
      </w:t>
      </w:r>
    </w:p>
    <w:p>
      <w:pPr>
        <w:spacing w:after="0"/>
        <w:ind w:left="0"/>
        <w:jc w:val="left"/>
      </w:pPr>
      <w:r>
        <w:rPr>
          <w:rFonts w:ascii="SimSun" w:hAnsi="SimSun"/>
          <w:b w:val="false"/>
          <w:i w:val="false"/>
          <w:color w:val="000000"/>
          <w:sz w:val="21"/>
        </w:rPr>
        <w:t xml:space="preserve"> 培养标准：</w:t>
      </w:r>
      <w:r>
        <w:br/>
      </w:r>
      <w:r>
        <w:rPr>
          <w:rFonts w:ascii="SimSun" w:hAnsi="SimSun"/>
          <w:b w:val="false"/>
          <w:i w:val="false"/>
          <w:color w:val="000000"/>
          <w:sz w:val="21"/>
        </w:rPr>
        <w:t>（1）具有本学科扎实的理论基础；</w:t>
      </w:r>
      <w:r>
        <w:br/>
      </w:r>
      <w:r>
        <w:rPr>
          <w:rFonts w:ascii="SimSun" w:hAnsi="SimSun"/>
          <w:b w:val="false"/>
          <w:i w:val="false"/>
          <w:color w:val="000000"/>
          <w:sz w:val="21"/>
        </w:rPr>
        <w:t>（2）能独立设计并完成具有理论价值和现实意义的专题研究；</w:t>
      </w:r>
      <w:r>
        <w:br/>
      </w:r>
      <w:r>
        <w:rPr>
          <w:rFonts w:ascii="SimSun" w:hAnsi="SimSun"/>
          <w:b w:val="false"/>
          <w:i w:val="false"/>
          <w:color w:val="000000"/>
          <w:sz w:val="21"/>
        </w:rPr>
        <w:t>（3）具备较强的实证调研能力和学术写作能力；</w:t>
      </w:r>
      <w:r>
        <w:br/>
      </w:r>
      <w:r>
        <w:rPr>
          <w:rFonts w:ascii="SimSun" w:hAnsi="SimSun"/>
          <w:b w:val="false"/>
          <w:i w:val="false"/>
          <w:color w:val="000000"/>
          <w:sz w:val="21"/>
        </w:rPr>
        <w:t>（4）熟练运用一门外语进行专业文献研读；</w:t>
      </w:r>
      <w:r>
        <w:br/>
      </w:r>
      <w:r>
        <w:rPr>
          <w:rFonts w:ascii="SimSun" w:hAnsi="SimSun"/>
          <w:b w:val="false"/>
          <w:i w:val="false"/>
          <w:color w:val="000000"/>
          <w:sz w:val="21"/>
        </w:rPr>
        <w:t>（5）硕士学位论文应达到在国内核心期刊发表的水准。</w:t>
      </w:r>
    </w:p>
    <w:p>
      <w:pPr>
        <w:spacing w:after="0"/>
        <w:ind w:left="0"/>
        <w:jc w:val="left"/>
      </w:pPr>
      <w:r>
        <w:drawing>
          <wp:inline distT="0" distB="0" distL="0" distR="0">
            <wp:extent cx="5732145" cy="2069939"/>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069939"/>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p>
    <w:p>
      <w:pPr>
        <w:spacing w:after="0"/>
        <w:ind w:left="0"/>
        <w:jc w:val="left"/>
      </w:pPr>
      <w:r>
        <w:rPr>
          <w:rFonts w:ascii="SimSun" w:hAnsi="SimSun"/>
          <w:b w:val="false"/>
          <w:i w:val="false"/>
          <w:color w:val="000000"/>
          <w:sz w:val="21"/>
        </w:rPr>
        <w:t xml:space="preserve">
       1.修业年限：6年
      </w:t>
      </w:r>
    </w:p>
    <w:p>
      <w:pPr>
        <w:spacing w:after="0"/>
        <w:ind w:left="0"/>
        <w:jc w:val="left"/>
      </w:pPr>
      <w:r>
        <w:rPr>
          <w:rFonts w:ascii="SimSun" w:hAnsi="SimSun"/>
          <w:b w:val="false"/>
          <w:i w:val="false"/>
          <w:color w:val="000000"/>
          <w:sz w:val="21"/>
        </w:rPr>
        <w:t xml:space="preserve">
       2.学业升段考核要求：
      </w:t>
      </w:r>
    </w:p>
    <w:tbl>
      <w:tblPr>
        <w:tblW w:w="0" w:type="auto"/>
        <w:tblCellSpacing w:w="0" w:type="auto"/>
        <w:tblBorders>
          <w:top w:val="none"/>
          <w:left w:val="none"/>
          <w:bottom w:val="none"/>
          <w:right w:val="none"/>
          <w:insideH w:val="none"/>
          <w:insideV w:val="none"/>
        </w:tblBorders>
      </w:tblPr>
      <w:tblGrid>
        <w:gridCol w:w="3818"/>
        <w:gridCol w:w="3409"/>
        <w:gridCol w:w="2999"/>
        <w:gridCol w:w="3408"/>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考核时间</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考核方式</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考核内容</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3年级结束</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面试成绩50%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学业成绩为已修读课程的加权平均值；
面试内容：荣誉课程学习情况、综合评价（竞赛、比赛、科研实践情况及学术志趣等内容）
毕业论文按照本硕轨道撰写方法完成</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学业成绩50%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5年级结束(4~6年级期间有2次申请机会)</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面试成绩50%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笔试科目：按照本学科规定安排博资考
面试内容：已从事的科研活动及取得的科研成果介绍，以及下一步的科研计划</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学业成绩50%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bl>
    <w:p>
      <w:pPr>
        <w:spacing w:after="0"/>
        <w:ind w:left="0"/>
        <w:jc w:val="left"/>
      </w:pPr>
      <w:r>
        <w:rPr>
          <w:rFonts w:ascii="SimSun" w:hAnsi="SimSun"/>
          <w:b w:val="false"/>
          <w:i w:val="false"/>
          <w:color w:val="000000"/>
          <w:sz w:val="21"/>
        </w:rPr>
        <w:t xml:space="preserve">
       3.学业退出说明：
      </w:t>
      </w:r>
    </w:p>
    <w:tbl>
      <w:tblPr>
        <w:tblW w:w="0" w:type="auto"/>
        <w:tblCellSpacing w:w="0" w:type="auto"/>
        <w:tblBorders>
          <w:top w:val="none"/>
          <w:left w:val="none"/>
          <w:bottom w:val="none"/>
          <w:right w:val="none"/>
          <w:insideH w:val="none"/>
          <w:insideV w:val="none"/>
        </w:tblBorders>
      </w:tblPr>
      <w:tblGrid>
        <w:gridCol w:w="3818"/>
        <w:gridCol w:w="3409"/>
        <w:gridCol w:w="6407"/>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退出形式</w:t>
            </w:r>
          </w:p>
        </w:tc>
        <w:tc>
          <w:tcPr>
            <w:tcW w:w="6407"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退出后修读专业</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34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☑主动退出   </w:t>
            </w:r>
          </w:p>
        </w:tc>
        <w:tc>
          <w:tcPr>
            <w:tcW w:w="6407"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国际政治专业本科“2+X+Y”培养方案（留学生适用））</w:t>
            </w:r>
          </w:p>
        </w:tc>
      </w:tr>
      <w:tr>
        <w:trPr>
          <w:trHeight w:val="45" w:hRule="atLeast"/>
        </w:trPr>
        <w:tc>
          <w:tcPr>
            <w:tcW w:w="0" w:type="auto"/>
            <w:vMerge/>
            <w:tcBorders>
              <w:top w:val="nil"/>
              <w:left w:val="single" w:color="000000" w:sz="8"/>
            </w:tcBorders>
          </w:tcPr>
          <w:p/>
        </w:tc>
        <w:tc>
          <w:tcPr>
            <w:tcW w:w="340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☑考核不通过退出   </w:t>
            </w:r>
          </w:p>
        </w:tc>
        <w:tc>
          <w:tcPr>
            <w:tcW w:w="0" w:type="auto"/>
            <w:vMerge/>
            <w:tcBorders>
              <w:top w:val="nil"/>
              <w:left w:val="single" w:color="000000" w:sz="8"/>
              <w:right w:val="single" w:color="000000" w:sz="8"/>
            </w:tcBorders>
          </w:tcP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w:t>
            </w:r>
          </w:p>
        </w:tc>
        <w:tc>
          <w:tcPr>
            <w:tcW w:w="34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☑主动退出   </w:t>
            </w:r>
          </w:p>
        </w:tc>
        <w:tc>
          <w:tcPr>
            <w:tcW w:w="6407"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政治学-国际政治学术学位硕士培养方案</w:t>
            </w:r>
          </w:p>
        </w:tc>
      </w:tr>
      <w:tr>
        <w:trPr>
          <w:trHeight w:val="45" w:hRule="atLeast"/>
        </w:trPr>
        <w:tc>
          <w:tcPr>
            <w:tcW w:w="0" w:type="auto"/>
            <w:vMerge/>
            <w:tcBorders>
              <w:top w:val="nil"/>
              <w:left w:val="single" w:color="000000" w:sz="8"/>
            </w:tcBorders>
          </w:tcPr>
          <w:p/>
        </w:tc>
        <w:tc>
          <w:tcPr>
            <w:tcW w:w="3409"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☑考核不通过退出   </w:t>
            </w:r>
          </w:p>
        </w:tc>
        <w:tc>
          <w:tcPr>
            <w:tcW w:w="0" w:type="auto"/>
            <w:vMerge/>
            <w:tcBorders>
              <w:top w:val="nil"/>
              <w:left w:val="single" w:color="000000" w:sz="8"/>
              <w:right w:val="single" w:color="000000" w:sz="8"/>
            </w:tcBorders>
          </w:tcPr>
          <w:p/>
        </w:tc>
      </w:tr>
    </w:tbl>
    <w:p>
      <w:pPr>
        <w:spacing w:after="0"/>
        <w:ind w:left="0"/>
        <w:jc w:val="left"/>
      </w:pPr>
      <w:r>
        <w:rPr>
          <w:rFonts w:ascii="SimSun" w:hAnsi="SimSun"/>
          <w:b w:val="false"/>
          <w:i w:val="false"/>
          <w:color w:val="000000"/>
          <w:sz w:val="21"/>
        </w:rPr>
        <w:t xml:space="preserve">
       4.学业补入说明：
      </w:t>
      </w:r>
    </w:p>
    <w:tbl>
      <w:tblPr>
        <w:tblW w:w="0" w:type="auto"/>
        <w:tblCellSpacing w:w="0" w:type="auto"/>
        <w:tblBorders>
          <w:top w:val="none"/>
          <w:left w:val="none"/>
          <w:bottom w:val="none"/>
          <w:right w:val="none"/>
          <w:insideH w:val="none"/>
          <w:insideV w:val="none"/>
        </w:tblBorders>
      </w:tblPr>
      <w:tblGrid>
        <w:gridCol w:w="3818"/>
        <w:gridCol w:w="3409"/>
        <w:gridCol w:w="2999"/>
        <w:gridCol w:w="3408"/>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是否补入</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补入时间</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考核方式</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考核内容</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☑是   （总额不变，动态进出）</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3年级结束</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面试成绩30%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学业成绩为已修读课程的加权平均值；
面试内容：荣誉课程学习情况、综合评价（竞赛、比赛、科研实践情况及学术志趣等内容）
毕业论文按照本硕轨道撰写方法完成</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学业成绩70%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5年级结束(4~6年级期间有2次申请机会)</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面试成绩30%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笔试科目：按照本学科规定安排博资考
面试内容：已从事的科研活动及取得的科研成果介绍，以及下一步的科研计划</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学业成绩70%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□否   （只出不进）</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r>
    </w:tbl>
    <w:p>
      <w:pPr>
        <w:spacing w:after="0"/>
        <w:ind w:left="0"/>
        <w:jc w:val="left"/>
      </w:pPr>
      <w:r>
        <w:rPr>
          <w:rFonts w:ascii="SimSun" w:hAnsi="SimSun"/>
          <w:b w:val="false"/>
          <w:i w:val="false"/>
          <w:color w:val="000000"/>
          <w:sz w:val="21"/>
        </w:rPr>
        <w:t xml:space="preserve">
       5.学位授予说明：
      </w:t>
      </w:r>
    </w:p>
    <w:tbl>
      <w:tblPr>
        <w:tblW w:w="0" w:type="auto"/>
        <w:tblCellSpacing w:w="0" w:type="auto"/>
        <w:tblBorders>
          <w:top w:val="none"/>
          <w:left w:val="none"/>
          <w:bottom w:val="none"/>
          <w:right w:val="none"/>
          <w:insideH w:val="none"/>
          <w:insideV w:val="none"/>
        </w:tblBorders>
      </w:tblPr>
      <w:tblGrid>
        <w:gridCol w:w="1637"/>
        <w:gridCol w:w="2046"/>
        <w:gridCol w:w="1772"/>
        <w:gridCol w:w="1772"/>
        <w:gridCol w:w="1772"/>
        <w:gridCol w:w="954"/>
        <w:gridCol w:w="3681"/>
      </w:tblGrid>
      <w:tr>
        <w:trPr>
          <w:trHeight w:val="45" w:hRule="atLeast"/>
        </w:trPr>
        <w:tc>
          <w:tcPr>
            <w:tcW w:w="16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20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时间</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授予学位</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学位类型</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专业名称</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学段审核要求</w:t>
            </w:r>
          </w:p>
        </w:tc>
      </w:tr>
      <w:tr>
        <w:trPr>
          <w:trHeight w:val="45" w:hRule="atLeast"/>
        </w:trPr>
        <w:tc>
          <w:tcPr>
            <w:tcW w:w="1637"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2046"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4年级</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法学学士</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国际政治</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□按照不少于总学分比例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☑按照不少于学分数   137</w:t>
            </w:r>
          </w:p>
        </w:tc>
      </w:tr>
      <w:tr>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954"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☑必修课组须通过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通识教育课程24学分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专业培养课程64学分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专业进阶模块35学分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融合创新能力实训模块14学分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□其他   </w:t>
            </w:r>
          </w:p>
        </w:tc>
      </w:tr>
      <w:tr>
        <w:trPr>
          <w:trHeight w:val="45" w:hRule="atLeast"/>
        </w:trPr>
        <w:tc>
          <w:tcPr>
            <w:tcW w:w="1637"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研究生学段（博士生资格考核分流）</w:t>
            </w:r>
          </w:p>
        </w:tc>
        <w:tc>
          <w:tcPr>
            <w:tcW w:w="2046"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6年级</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法学硕士</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学术学位</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政治学</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☑按照本硕融通培养方案进行毕业审核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□按照硕士培养方案进行毕业审核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□其他   </w:t>
            </w:r>
          </w:p>
        </w:tc>
      </w:tr>
    </w:tbl>
    <w:p>
      <w:pPr>
        <w:spacing w:after="0"/>
        <w:ind w:left="0"/>
        <w:jc w:val="left"/>
      </w:pPr>
      <w:r>
        <w:rPr>
          <w:rFonts w:ascii="SimSun" w:hAnsi="SimSun"/>
          <w:b/>
          <w:i w:val="false"/>
          <w:color w:val="000000"/>
          <w:sz w:val="24"/>
        </w:rPr>
        <w:t xml:space="preserve">
       五.    学分要求
      </w:t>
      </w:r>
    </w:p>
    <w:p>
      <w:pPr>
        <w:spacing w:after="0"/>
        <w:ind w:left="0"/>
        <w:jc w:val="left"/>
      </w:pPr>
      <w:r>
        <w:rPr>
          <w:rFonts w:ascii="SimSun" w:hAnsi="SimSun"/>
          <w:b w:val="false"/>
          <w:i w:val="false"/>
          <w:color w:val="000000"/>
          <w:sz w:val="21"/>
        </w:rPr>
        <w:t>本路径学生本硕期间必须修满教学计划规定的137学分（含实践学分不低于21学分；含美育学分不少于2学分，其中至少在“美学和艺术史论类”或“艺术鉴赏和评论类”课程中修读1学分，并至少参与一项艺术实践活动；劳动教育不少于32学时，并满足劳动周教育要求），包括通识教育课程24学分、全球领导力课程模块64学分、本硕融通衔接模块25学分、硕士实务实践高阶模块10学分，满足融合创新能力模块的修读。</w:t>
      </w:r>
      <w:r>
        <w:br/>
      </w:r>
      <w:r>
        <w:rPr>
          <w:rFonts w:ascii="SimSun" w:hAnsi="SimSun"/>
          <w:b w:val="false"/>
          <w:i w:val="false"/>
          <w:color w:val="000000"/>
          <w:sz w:val="21"/>
        </w:rPr>
        <w:t>其中，本科学段需要完成123学分，包括通识教育课程24学分、全球领导力课程64学分，同时满足融合创新能力模块要求的修读。</w:t>
      </w:r>
    </w:p>
    <w:p>
      <w:pPr>
        <w:spacing w:after="0"/>
        <w:ind w:left="0"/>
        <w:jc w:val="left"/>
      </w:pPr>
      <w:r>
        <w:drawing>
          <wp:inline distT="0" distB="0" distL="0" distR="0">
            <wp:extent cx="5732145" cy="1987561"/>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987561"/>
                    </a:xfrm>
                    <a:prstGeom prst="rect">
                      <a:avLst/>
                    </a:prstGeom>
                  </pic:spPr>
                </pic:pic>
              </a:graphicData>
            </a:graphic>
          </wp:inline>
        </w:drawing>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（一）本科学位</w:t>
      </w:r>
      <w:r>
        <w:br/>
      </w:r>
      <w:r>
        <w:rPr>
          <w:rFonts w:ascii="SimSun" w:hAnsi="SimSun"/>
          <w:b w:val="false"/>
          <w:i w:val="false"/>
          <w:color w:val="000000"/>
          <w:sz w:val="21"/>
        </w:rPr>
        <w:t>四年级结束时，如达到学士学位要求者授予法学学士学位。</w:t>
      </w:r>
      <w:r>
        <w:br/>
      </w:r>
      <w:r>
        <w:rPr>
          <w:rFonts w:ascii="SimSun" w:hAnsi="SimSun"/>
          <w:b w:val="false"/>
          <w:i w:val="false"/>
          <w:color w:val="000000"/>
          <w:sz w:val="21"/>
        </w:rPr>
        <w:t>（二）研究生学位</w:t>
      </w:r>
      <w:r>
        <w:br/>
      </w:r>
      <w:r>
        <w:rPr>
          <w:rFonts w:ascii="SimSun" w:hAnsi="SimSun"/>
          <w:b w:val="false"/>
          <w:i w:val="false"/>
          <w:color w:val="000000"/>
          <w:sz w:val="21"/>
        </w:rPr>
        <w:t>如达到硕士学位要求者授予法学硕士学位。</w:t>
      </w:r>
      <w:r>
        <w:br/>
      </w:r>
      <w:r>
        <w:rPr>
          <w:rFonts w:ascii="SimSun" w:hAnsi="SimSun"/>
          <w:b w:val="false"/>
          <w:i w:val="false"/>
          <w:color w:val="000000"/>
          <w:sz w:val="21"/>
        </w:rPr>
        <w:t>（1）硕士学位申请人提出学位论文答辩申请时，必须已修满学校规定的学分；所有修读课程成绩合格，其中学位课程平均绩点原则上不低于 2.5。</w:t>
      </w:r>
      <w:r>
        <w:br/>
      </w:r>
      <w:r>
        <w:rPr>
          <w:rFonts w:ascii="SimSun" w:hAnsi="SimSun"/>
          <w:b w:val="false"/>
          <w:i w:val="false"/>
          <w:color w:val="000000"/>
          <w:sz w:val="21"/>
        </w:rPr>
        <w:t>（2）具体参照《复旦大学学位授予工作细则》《复旦大学硕士学位基本要求》或所属一级学科或专业学位类别的《学位授予标准》及院系相关文件规定执行。</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rPr>
          <w:rFonts w:ascii="SimSun" w:hAnsi="SimSun"/>
          <w:b w:val="false"/>
          <w:i w:val="false"/>
          <w:color w:val="000000"/>
          <w:sz w:val="21"/>
        </w:rPr>
        <w:t xml:space="preserve"> </w:t>
      </w:r>
      <w:r>
        <w:drawing>
          <wp:inline distT="0" distB="0" distL="0" distR="0">
            <wp:extent cx="5732145" cy="2801773"/>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2801773"/>
                    </a:xfrm>
                    <a:prstGeom prst="rect">
                      <a:avLst/>
                    </a:prstGeom>
                  </pic:spPr>
                </pic:pic>
              </a:graphicData>
            </a:graphic>
          </wp:inline>
        </w:drawing>
      </w:r>
    </w:p>
    <w:p>
      <w:pPr>
        <w:spacing w:after="0"/>
        <w:ind w:left="0"/>
        <w:jc w:val="left"/>
      </w:pPr>
      <w:r>
        <w:rPr>
          <w:rFonts w:ascii="SimSun" w:hAnsi="SimSun"/>
          <w:b w:val="false"/>
          <w:i w:val="false"/>
          <w:color w:val="000000"/>
          <w:sz w:val="21"/>
        </w:rPr>
        <w:t>本硕双导师制实务实践训练体系注重培养学生在国家治理与全球治理领域的实务工作能力，增强应对复杂治理问题的实践经验和专业素养，提升就业竞争力与胜任力。双导师拟由学术导师（专任教师）与行业导师（政府、企事业单位等业内人士）组成。</w:t>
      </w:r>
      <w:r>
        <w:br/>
      </w:r>
      <w:r>
        <w:rPr>
          <w:rFonts w:ascii="SimSun" w:hAnsi="SimSun"/>
          <w:b w:val="false"/>
          <w:i w:val="false"/>
          <w:color w:val="000000"/>
          <w:sz w:val="21"/>
        </w:rPr>
        <w:t>1.本科阶段培养设计</w:t>
      </w:r>
      <w:r>
        <w:br/>
      </w:r>
      <w:r>
        <w:rPr>
          <w:rFonts w:ascii="SimSun" w:hAnsi="SimSun"/>
          <w:b w:val="false"/>
          <w:i w:val="false"/>
          <w:color w:val="000000"/>
          <w:sz w:val="21"/>
        </w:rPr>
        <w:t>本科阶段将国务学院“中国之治”国情育人项目、“全球之治”世情育人项目以及相关学科竞赛列入本硕融通轨道学生必修项目清单。“中国之治”国情育人项目包括：中国之治社会实践项目（重点项目+日常化项目）；“全球之治”世情育人项目包括：青年全球治理创新设计大赛（YICGG）、澜沧江-湄公河”流域治理与发展青年创新设计大赛（YICMG）、“荣昶学者”全球治理人才培养专项计划等；学科竞赛包括“中国之治”治理案例分析大赛以及复旦大学本科生学科竞赛工作管理办法适用竞赛表所列本学科相关赛事及其他本学院认定的高水平、有影响力的赛事。</w:t>
      </w:r>
      <w:r>
        <w:br/>
      </w:r>
      <w:r>
        <w:rPr>
          <w:rFonts w:ascii="SimSun" w:hAnsi="SimSun"/>
          <w:b w:val="false"/>
          <w:i w:val="false"/>
          <w:color w:val="000000"/>
          <w:sz w:val="21"/>
        </w:rPr>
        <w:t>在该阶段，学生可选择以下两种方式之一完成培养：</w:t>
      </w:r>
      <w:r>
        <w:br/>
      </w:r>
      <w:r>
        <w:rPr>
          <w:rFonts w:ascii="SimSun" w:hAnsi="SimSun"/>
          <w:b w:val="false"/>
          <w:i w:val="false"/>
          <w:color w:val="000000"/>
          <w:sz w:val="21"/>
        </w:rPr>
        <w:t>方式一，学生在本科阶段第三学年末或第四学年初规定时间前以“队长/项目负责人”身份完成一个“中国之治”项目，并以项目调研报告为基础，继续以“队长/项目负责人”身份参加青年全球治理创新设计大赛（YICGG）、澜沧江-湄公河”流域治理与发展青年创新设计大赛（YICMG）、“荣昶学者”全球治理人才培养专项计划、“中国之治”治理案例分析大赛以及复旦大学本科生学科竞赛工作管理办法适用竞赛表所列本学科相关赛事及其他本学院认定的高水平赛事，并进入第二轮。</w:t>
      </w:r>
      <w:r>
        <w:br/>
      </w:r>
      <w:r>
        <w:rPr>
          <w:rFonts w:ascii="SimSun" w:hAnsi="SimSun"/>
          <w:b w:val="false"/>
          <w:i w:val="false"/>
          <w:color w:val="000000"/>
          <w:sz w:val="21"/>
        </w:rPr>
        <w:t>方式二，学生在本科阶段第三学年末或第四学年初规定时间前以“活动组织者”身份至少在1个“中国之治”、“全球之治”或“中国之治”治理案例分析大赛项目组中服务，且服务时长不少于1学年。修读认定以项目组出具的证明材料为准。此外，学生还应以“队长/项目负责人”或“项目团队成员排位前两名（除负责人外）”身份参加青年全球治理创新设计大赛（YICGG）、澜沧江-湄公河”流域治理与发展青年创新设计大赛（YICMG）、“荣昶学者”全球治理人才培养专项计划、“中国之治”治理案例分析大赛以及复旦大学本科生学科竞赛工作管理办法适用竞赛表所列本学科相关赛事及其他本学院认定的高水平赛事，并进入第二轮。学院出台相关政策，为上述竞赛活动的评审工作提供制度保障。</w:t>
      </w:r>
      <w:r>
        <w:br/>
      </w:r>
      <w:r>
        <w:rPr>
          <w:rFonts w:ascii="SimSun" w:hAnsi="SimSun"/>
          <w:b w:val="false"/>
          <w:i w:val="false"/>
          <w:color w:val="000000"/>
          <w:sz w:val="21"/>
        </w:rPr>
        <w:t>本科毕业时，学生如作为“队长/项目负责人”身份完成上述竞赛参赛要求，则可选择将参与竞赛所撰写研究论文或比赛报告作为本科毕业论文送审，学院出台相应配套政策，进行审核与学分认定。若结项报告、研究论文为团队成果，学生在申请认定其为本科毕业论文时，应取得指导老师以及课题团队成员书面一致同意，且每份报告或论文只适用一次本科毕业论文答辩申请。学生如作为“项目团队成员排位前两名（除负责人外）”时，则须独立撰写一篇毕业论文送审。</w:t>
      </w:r>
    </w:p>
    <w:p>
      <w:pPr>
        <w:spacing w:after="0"/>
        <w:ind w:left="0"/>
        <w:jc w:val="left"/>
      </w:pPr>
      <w:r>
        <w:rPr>
          <w:rFonts w:ascii="SimSun" w:hAnsi="SimSun"/>
          <w:b/>
          <w:i w:val="false"/>
          <w:color w:val="000000"/>
          <w:sz w:val="24"/>
        </w:rPr>
        <w:t xml:space="preserve">
       八.    课程设置与修读要求
      </w:t>
      </w:r>
    </w:p>
    <w:p>
      <w:pPr>
        <w:spacing w:after="0"/>
        <w:ind w:left="0"/>
        <w:jc w:val="left"/>
      </w:pPr>
    </w:p>
    <w:p>
      <w:pPr>
        <w:spacing w:after="0"/>
        <w:ind w:left="0"/>
        <w:jc w:val="left"/>
      </w:pPr>
      <w:r>
        <w:rPr>
          <w:rFonts w:ascii="SimSun" w:hAnsi="SimSun"/>
          <w:b/>
          <w:i w:val="false"/>
          <w:color w:val="000000"/>
          <w:sz w:val="21"/>
        </w:rPr>
        <w:t xml:space="preserve">
       (一) 通识教育课程（24学分,本科要求24.0学分）
      </w:t>
      </w:r>
    </w:p>
    <w:p>
      <w:pPr>
        <w:spacing w:after="0"/>
        <w:ind w:left="0"/>
        <w:jc w:val="left"/>
      </w:pPr>
      <w:r>
        <w:rPr>
          <w:rFonts w:ascii="SimSun" w:hAnsi="SimSun"/>
          <w:b/>
          <w:i w:val="false"/>
          <w:color w:val="000000"/>
          <w:sz w:val="21"/>
        </w:rPr>
        <w:t xml:space="preserve">
       1.  通识教育核心课程（6学分,本科要求6.0学分）
      </w:t>
      </w:r>
    </w:p>
    <w:p>
      <w:pPr>
        <w:spacing w:after="0"/>
        <w:ind w:left="0"/>
        <w:jc w:val="left"/>
      </w:pPr>
      <w:r>
        <w:rPr>
          <w:rFonts w:ascii="SimSun" w:hAnsi="SimSun"/>
          <w:b w:val="false"/>
          <w:i w:val="false"/>
          <w:color w:val="000000"/>
          <w:sz w:val="21"/>
        </w:rPr>
        <w:t xml:space="preserve">
       国务学院学生回避社会研究与当代中国模块课程
      </w:t>
      </w:r>
    </w:p>
    <w:p>
      <w:pPr>
        <w:spacing w:after="0"/>
        <w:ind w:left="0"/>
        <w:jc w:val="left"/>
      </w:pPr>
      <w:r>
        <w:rPr>
          <w:rFonts w:ascii="SimSun" w:hAnsi="SimSun"/>
          <w:b/>
          <w:i w:val="false"/>
          <w:color w:val="000000"/>
          <w:sz w:val="21"/>
        </w:rPr>
        <w:t xml:space="preserve">
       2.  通识教育专项教育课程（18学分,本科要求15.0学分）
      </w:t>
      </w:r>
    </w:p>
    <w:p>
      <w:pPr>
        <w:spacing w:after="0"/>
        <w:ind w:left="0"/>
        <w:jc w:val="left"/>
      </w:pPr>
      <w:r>
        <w:rPr>
          <w:rFonts w:ascii="SimSun" w:hAnsi="SimSun"/>
          <w:b/>
          <w:i w:val="false"/>
          <w:color w:val="000000"/>
          <w:sz w:val="21"/>
        </w:rPr>
        <w:t xml:space="preserve">
       (二) 专业培养课程（64学分,本科要求64.0学分）
      </w:t>
      </w:r>
    </w:p>
    <w:p>
      <w:pPr>
        <w:spacing w:after="0"/>
        <w:ind w:left="0"/>
        <w:jc w:val="left"/>
      </w:pPr>
      <w:r>
        <w:rPr>
          <w:rFonts w:ascii="SimSun" w:hAnsi="SimSun"/>
          <w:b/>
          <w:i w:val="false"/>
          <w:color w:val="000000"/>
          <w:sz w:val="21"/>
        </w:rPr>
        <w:t xml:space="preserve">
       1.  专业核心教育课程（31学分,本科要求31.0学分）
      </w:t>
      </w:r>
    </w:p>
    <w:tbl>
      <w:tblPr>
        <w:tblW w:w="0" w:type="auto"/>
        <w:tblCellSpacing w:w="0" w:type="auto"/>
        <w:tblBorders>
          <w:top w:val="none"/>
          <w:left w:val="none"/>
          <w:bottom w:val="none"/>
          <w:right w:val="none"/>
          <w:insideH w:val="none"/>
          <w:insideV w:val="none"/>
        </w:tblBorders>
      </w:tblPr>
      <w:tblGrid>
        <w:gridCol w:w="2063"/>
        <w:gridCol w:w="2751"/>
        <w:gridCol w:w="687"/>
        <w:gridCol w:w="687"/>
        <w:gridCol w:w="962"/>
        <w:gridCol w:w="1395"/>
        <w:gridCol w:w="687"/>
        <w:gridCol w:w="687"/>
        <w:gridCol w:w="687"/>
        <w:gridCol w:w="687"/>
        <w:gridCol w:w="963"/>
        <w:gridCol w:w="1378"/>
      </w:tblGrid>
      <w:tr>
        <w:trPr>
          <w:trHeight w:val="45" w:hRule="atLeast"/>
        </w:trPr>
        <w:tc>
          <w:tcPr>
            <w:tcW w:w="20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63"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专业核心教育课程</w:t>
            </w:r>
            <w:r>
              <w:br/>
            </w:r>
            <w:r>
              <w:rPr>
                <w:rFonts w:ascii="SimSun" w:hAnsi="SimSun"/>
                <w:b w:val="false"/>
                <w:i w:val="false"/>
                <w:color w:val="000000"/>
                <w:sz w:val="21"/>
              </w:rPr>
              <w:t>Major Core Courses</w:t>
            </w:r>
            <w:r>
              <w:rPr>
                <w:rFonts w:ascii="SimSun" w:hAnsi="SimSun"/>
                <w:b w:val="false"/>
                <w:i w:val="false"/>
                <w:color w:val="000000"/>
                <w:sz w:val="21"/>
              </w:rPr>
              <w:t xml:space="preserve">
                  </w:t>
            </w: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国际关系理论</w:t>
            </w:r>
            <w:r>
              <w:br/>
            </w:r>
            <w:r>
              <w:rPr>
                <w:rFonts w:ascii="SimSun" w:hAnsi="SimSun"/>
                <w:b w:val="false"/>
                <w:i w:val="false"/>
                <w:color w:val="000000"/>
                <w:sz w:val="21"/>
              </w:rPr>
              <w:t>International Relations Theory</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POLI20018</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近现代国际关系</w:t>
            </w:r>
            <w:r>
              <w:br/>
            </w:r>
            <w:r>
              <w:rPr>
                <w:rFonts w:ascii="SimSun" w:hAnsi="SimSun"/>
                <w:b w:val="false"/>
                <w:i w:val="false"/>
                <w:color w:val="000000"/>
                <w:sz w:val="21"/>
              </w:rPr>
              <w:t>Modern and Contemporary International Relations</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POLI20027</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当代国际关系</w:t>
            </w:r>
            <w:r>
              <w:br/>
            </w:r>
            <w:r>
              <w:rPr>
                <w:rFonts w:ascii="SimSun" w:hAnsi="SimSun"/>
                <w:b w:val="false"/>
                <w:i w:val="false"/>
                <w:color w:val="000000"/>
                <w:sz w:val="21"/>
              </w:rPr>
              <w:t>International Relations Since World War II</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POLI20012</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近现代中国对外关系</w:t>
            </w:r>
            <w:r>
              <w:br/>
            </w:r>
            <w:r>
              <w:rPr>
                <w:rFonts w:ascii="SimSun" w:hAnsi="SimSun"/>
                <w:b w:val="false"/>
                <w:i w:val="false"/>
                <w:color w:val="000000"/>
                <w:sz w:val="21"/>
              </w:rPr>
              <w:t>Foreign Relations of China: 1840-1949</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POLI20026</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当代中国对外关系</w:t>
            </w:r>
            <w:r>
              <w:br/>
            </w:r>
            <w:r>
              <w:rPr>
                <w:rFonts w:ascii="SimSun" w:hAnsi="SimSun"/>
                <w:b w:val="false"/>
                <w:i w:val="false"/>
                <w:color w:val="000000"/>
                <w:sz w:val="21"/>
              </w:rPr>
              <w:t>Contemporary External Relations of the People's Republic of China</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POLI20009</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比较政治制度</w:t>
            </w:r>
            <w:r>
              <w:br/>
            </w:r>
            <w:r>
              <w:rPr>
                <w:rFonts w:ascii="SimSun" w:hAnsi="SimSun"/>
                <w:b w:val="false"/>
                <w:i w:val="false"/>
                <w:color w:val="000000"/>
                <w:sz w:val="21"/>
              </w:rPr>
              <w:t>Comparative Study of Political Systems</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POLI20022</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外交学</w:t>
            </w:r>
            <w:r>
              <w:br/>
            </w:r>
            <w:r>
              <w:rPr>
                <w:rFonts w:ascii="SimSun" w:hAnsi="SimSun"/>
                <w:b w:val="false"/>
                <w:i w:val="false"/>
                <w:color w:val="000000"/>
                <w:sz w:val="21"/>
              </w:rPr>
              <w:t>Diplomacy</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POLI30027</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国际组织概论</w:t>
            </w:r>
            <w:r>
              <w:br/>
            </w:r>
            <w:r>
              <w:rPr>
                <w:rFonts w:ascii="SimSun" w:hAnsi="SimSun"/>
                <w:b w:val="false"/>
                <w:i w:val="false"/>
                <w:color w:val="000000"/>
                <w:sz w:val="21"/>
              </w:rPr>
              <w:t>International organization</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POLI50005</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国际法</w:t>
            </w:r>
            <w:r>
              <w:br/>
            </w:r>
            <w:r>
              <w:rPr>
                <w:rFonts w:ascii="SimSun" w:hAnsi="SimSun"/>
                <w:b w:val="false"/>
                <w:i w:val="false"/>
                <w:color w:val="000000"/>
                <w:sz w:val="21"/>
              </w:rPr>
              <w:t>International Law</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POLI20015</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国际公共行政</w:t>
            </w:r>
            <w:r>
              <w:br/>
            </w:r>
            <w:r>
              <w:rPr>
                <w:rFonts w:ascii="SimSun" w:hAnsi="SimSun"/>
                <w:b w:val="false"/>
                <w:i w:val="false"/>
                <w:color w:val="000000"/>
                <w:sz w:val="21"/>
              </w:rPr>
              <w:t>International Public Administration</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POLI30005</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当代世界政治思潮</w:t>
            </w:r>
            <w:r>
              <w:br/>
            </w:r>
            <w:r>
              <w:rPr>
                <w:rFonts w:ascii="SimSun" w:hAnsi="SimSun"/>
                <w:b w:val="false"/>
                <w:i w:val="false"/>
                <w:color w:val="000000"/>
                <w:sz w:val="21"/>
              </w:rPr>
              <w:t>Contemporary Global Political Thoughts</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POLI30019</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社会科学研究方法</w:t>
            </w:r>
            <w:r>
              <w:br/>
            </w:r>
            <w:r>
              <w:rPr>
                <w:rFonts w:ascii="SimSun" w:hAnsi="SimSun"/>
                <w:b w:val="false"/>
                <w:i w:val="false"/>
                <w:color w:val="000000"/>
                <w:sz w:val="21"/>
              </w:rPr>
              <w:t>Research Methods of the Social Sciences</w:t>
            </w: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POLI20016</w:t>
            </w: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6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学科基础课程（33学分）
      </w:t>
      </w:r>
    </w:p>
    <w:p>
      <w:pPr>
        <w:spacing w:after="0"/>
        <w:ind w:left="0"/>
        <w:jc w:val="left"/>
      </w:pPr>
      <w:r>
        <w:rPr>
          <w:rFonts w:ascii="SimSun" w:hAnsi="SimSun"/>
          <w:b w:val="false"/>
          <w:i w:val="false"/>
          <w:color w:val="000000"/>
          <w:sz w:val="21"/>
        </w:rPr>
        <w:t xml:space="preserve">
       3+3+1基础课程包
      </w:t>
      </w:r>
    </w:p>
    <w:tbl>
      <w:tblPr>
        <w:tblW w:w="0" w:type="auto"/>
        <w:tblCellSpacing w:w="0" w:type="auto"/>
        <w:tblBorders>
          <w:top w:val="none"/>
          <w:left w:val="none"/>
          <w:bottom w:val="none"/>
          <w:right w:val="none"/>
          <w:insideH w:val="none"/>
          <w:insideV w:val="none"/>
        </w:tblBorders>
      </w:tblPr>
      <w:tblGrid>
        <w:gridCol w:w="2032"/>
        <w:gridCol w:w="2711"/>
        <w:gridCol w:w="677"/>
        <w:gridCol w:w="679"/>
        <w:gridCol w:w="940"/>
        <w:gridCol w:w="1616"/>
        <w:gridCol w:w="677"/>
        <w:gridCol w:w="671"/>
        <w:gridCol w:w="671"/>
        <w:gridCol w:w="677"/>
        <w:gridCol w:w="941"/>
        <w:gridCol w:w="1342"/>
      </w:tblGrid>
      <w:tr>
        <w:trPr>
          <w:trHeight w:val="45" w:hRule="atLeast"/>
        </w:trPr>
        <w:tc>
          <w:tcPr>
            <w:tcW w:w="203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7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7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32"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学科基础课程</w:t>
            </w:r>
            <w:r>
              <w:br/>
            </w:r>
            <w:r>
              <w:rPr>
                <w:rFonts w:ascii="SimSun" w:hAnsi="SimSun"/>
                <w:b w:val="false"/>
                <w:i w:val="false"/>
                <w:color w:val="000000"/>
                <w:sz w:val="21"/>
              </w:rPr>
              <w:t>Major Foundation Courses</w:t>
            </w:r>
            <w:r>
              <w:rPr>
                <w:rFonts w:ascii="SimSun" w:hAnsi="SimSun"/>
                <w:b w:val="false"/>
                <w:i w:val="false"/>
                <w:color w:val="000000"/>
                <w:sz w:val="21"/>
              </w:rPr>
              <w:t xml:space="preserve">
                  </w:t>
            </w: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政治学原理</w:t>
            </w:r>
            <w:r>
              <w:br/>
            </w:r>
            <w:r>
              <w:rPr>
                <w:rFonts w:ascii="SimSun" w:hAnsi="SimSun"/>
                <w:b w:val="false"/>
                <w:i w:val="false"/>
                <w:color w:val="000000"/>
                <w:sz w:val="21"/>
              </w:rPr>
              <w:t>Introduction to Political Science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POLI10004</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公共行政学</w:t>
            </w:r>
            <w:r>
              <w:br/>
            </w:r>
            <w:r>
              <w:rPr>
                <w:rFonts w:ascii="SimSun" w:hAnsi="SimSun"/>
                <w:b w:val="false"/>
                <w:i w:val="false"/>
                <w:color w:val="000000"/>
                <w:sz w:val="21"/>
              </w:rPr>
              <w:t>Public Administration</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MANA10001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国际关系导论</w:t>
            </w:r>
            <w:r>
              <w:br/>
            </w:r>
            <w:r>
              <w:rPr>
                <w:rFonts w:ascii="SimSun" w:hAnsi="SimSun"/>
                <w:b w:val="false"/>
                <w:i w:val="false"/>
                <w:color w:val="000000"/>
                <w:sz w:val="21"/>
              </w:rPr>
              <w:t>The Introduction to International Relations</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POLI10003</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当代中国政治制度</w:t>
            </w:r>
            <w:r>
              <w:br/>
            </w:r>
            <w:r>
              <w:rPr>
                <w:rFonts w:ascii="SimSun" w:hAnsi="SimSun"/>
                <w:b w:val="false"/>
                <w:i w:val="false"/>
                <w:color w:val="000000"/>
                <w:sz w:val="21"/>
              </w:rPr>
              <w:t>Contemporary Chinese Political System</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POLI10009</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公共政策概论</w:t>
            </w:r>
            <w:r>
              <w:br/>
            </w:r>
            <w:r>
              <w:rPr>
                <w:rFonts w:ascii="SimSun" w:hAnsi="SimSun"/>
                <w:b w:val="false"/>
                <w:i w:val="false"/>
                <w:color w:val="000000"/>
                <w:sz w:val="21"/>
              </w:rPr>
              <w:t>Public Policy: A General Survey</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POLI10006</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全球治理概论</w:t>
            </w:r>
            <w:r>
              <w:br/>
            </w:r>
            <w:r>
              <w:rPr>
                <w:rFonts w:ascii="SimSun" w:hAnsi="SimSun"/>
                <w:b w:val="false"/>
                <w:i w:val="false"/>
                <w:color w:val="000000"/>
                <w:sz w:val="21"/>
              </w:rPr>
              <w:t>Introduction to Global Governance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计算社会科学</w:t>
            </w:r>
            <w:r>
              <w:br/>
            </w:r>
            <w:r>
              <w:rPr>
                <w:rFonts w:ascii="SimSun" w:hAnsi="SimSun"/>
                <w:b w:val="false"/>
                <w:i w:val="false"/>
                <w:color w:val="000000"/>
                <w:sz w:val="21"/>
              </w:rPr>
              <w:t>Computational Social Science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大学数学Ⅰ</w:t>
            </w:r>
            <w:r>
              <w:br/>
            </w:r>
            <w:r>
              <w:rPr>
                <w:rFonts w:ascii="SimSun" w:hAnsi="SimSun"/>
                <w:b w:val="false"/>
                <w:i w:val="false"/>
                <w:color w:val="000000"/>
                <w:sz w:val="21"/>
              </w:rPr>
              <w:t>Comprehensive University Mathematics Ⅰ</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MATH10029</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大学数学Ⅱ</w:t>
            </w:r>
            <w:r>
              <w:br/>
            </w:r>
            <w:r>
              <w:rPr>
                <w:rFonts w:ascii="SimSun" w:hAnsi="SimSun"/>
                <w:b w:val="false"/>
                <w:i w:val="false"/>
                <w:color w:val="000000"/>
                <w:sz w:val="21"/>
              </w:rPr>
              <w:t>Comprehensive University Mathematics Ⅱ</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法理学导论</w:t>
            </w:r>
            <w:r>
              <w:br/>
            </w:r>
            <w:r>
              <w:rPr>
                <w:rFonts w:ascii="SimSun" w:hAnsi="SimSun"/>
                <w:b w:val="false"/>
                <w:i w:val="false"/>
                <w:color w:val="000000"/>
                <w:sz w:val="21"/>
              </w:rPr>
              <w:t>Introduction to Jurisprudence</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LAW10004</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包括本硕实务实践衔接课程包、硕士实务实践高阶课程模块，按路径要求修读课程。
      </w:t>
      </w:r>
    </w:p>
    <w:p>
      <w:pPr>
        <w:spacing w:after="0"/>
        <w:ind w:left="0"/>
        <w:jc w:val="left"/>
      </w:pPr>
      <w:r>
        <w:rPr>
          <w:rFonts w:ascii="SimSun" w:hAnsi="SimSun"/>
          <w:b/>
          <w:i w:val="false"/>
          <w:color w:val="000000"/>
          <w:sz w:val="21"/>
        </w:rPr>
        <w:t xml:space="preserve">
       1.  专业进阶路径（35学分）
      </w:t>
      </w:r>
    </w:p>
    <w:p>
      <w:pPr>
        <w:spacing w:after="0"/>
        <w:ind w:left="0"/>
        <w:jc w:val="left"/>
      </w:pPr>
      <w:r>
        <w:rPr>
          <w:rFonts w:ascii="SimSun" w:hAnsi="SimSun"/>
          <w:b/>
          <w:i w:val="false"/>
          <w:color w:val="000000"/>
          <w:sz w:val="21"/>
        </w:rPr>
        <w:t xml:space="preserve">
       (1) 专业进阶I（25学分,本科要求25.0学分）
      </w:t>
      </w:r>
    </w:p>
    <w:p>
      <w:pPr>
        <w:spacing w:after="0"/>
        <w:ind w:left="0"/>
        <w:jc w:val="left"/>
      </w:pPr>
      <w:r>
        <w:rPr>
          <w:rFonts w:ascii="SimSun" w:hAnsi="SimSun"/>
          <w:b w:val="false"/>
          <w:i w:val="false"/>
          <w:color w:val="000000"/>
          <w:sz w:val="21"/>
        </w:rPr>
        <w:t xml:space="preserve">
       I.本硕实务实践衔接课程包（25学分）。
      </w:t>
      </w:r>
    </w:p>
    <w:tbl>
      <w:tblPr>
        <w:tblW w:w="0" w:type="auto"/>
        <w:tblCellSpacing w:w="0" w:type="auto"/>
        <w:tblBorders>
          <w:top w:val="none"/>
          <w:left w:val="none"/>
          <w:bottom w:val="none"/>
          <w:right w:val="none"/>
          <w:insideH w:val="none"/>
          <w:insideV w:val="none"/>
        </w:tblBorders>
      </w:tblPr>
      <w:tblGrid>
        <w:gridCol w:w="3186"/>
        <w:gridCol w:w="796"/>
        <w:gridCol w:w="796"/>
        <w:gridCol w:w="1115"/>
        <w:gridCol w:w="1846"/>
        <w:gridCol w:w="796"/>
        <w:gridCol w:w="796"/>
        <w:gridCol w:w="796"/>
        <w:gridCol w:w="796"/>
        <w:gridCol w:w="1116"/>
        <w:gridCol w:w="1595"/>
      </w:tblGrid>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国际政治经济学</w:t>
            </w:r>
            <w:r>
              <w:br/>
            </w:r>
            <w:r>
              <w:rPr>
                <w:rFonts w:ascii="SimSun" w:hAnsi="SimSun"/>
                <w:b w:val="false"/>
                <w:i w:val="false"/>
                <w:color w:val="000000"/>
                <w:sz w:val="21"/>
              </w:rPr>
              <w:t>International Political Economy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区域国别学</w:t>
            </w:r>
            <w:r>
              <w:br/>
            </w:r>
            <w:r>
              <w:rPr>
                <w:rFonts w:ascii="SimSun" w:hAnsi="SimSun"/>
                <w:b w:val="false"/>
                <w:i w:val="false"/>
                <w:color w:val="000000"/>
                <w:sz w:val="21"/>
              </w:rPr>
              <w:t>Area Studies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国家安全学</w:t>
            </w:r>
            <w:r>
              <w:br/>
            </w:r>
            <w:r>
              <w:rPr>
                <w:rFonts w:ascii="SimSun" w:hAnsi="SimSun"/>
                <w:b w:val="false"/>
                <w:i w:val="false"/>
                <w:color w:val="000000"/>
                <w:sz w:val="21"/>
              </w:rPr>
              <w:t>National Security Studies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习近平外交思想概论</w:t>
            </w:r>
            <w:r>
              <w:br/>
            </w:r>
            <w:r>
              <w:rPr>
                <w:rFonts w:ascii="SimSun" w:hAnsi="SimSun"/>
                <w:b w:val="false"/>
                <w:i w:val="false"/>
                <w:color w:val="000000"/>
                <w:sz w:val="21"/>
              </w:rPr>
              <w:t>Introduction to Xi Jinping Thought on Diplomacy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国际发展</w:t>
            </w:r>
            <w:r>
              <w:br/>
            </w:r>
            <w:r>
              <w:rPr>
                <w:rFonts w:ascii="SimSun" w:hAnsi="SimSun"/>
                <w:b w:val="false"/>
                <w:i w:val="false"/>
                <w:color w:val="000000"/>
                <w:sz w:val="21"/>
              </w:rPr>
              <w:t>International Development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美国政治与对外关系</w:t>
            </w:r>
            <w:r>
              <w:br/>
            </w:r>
            <w:r>
              <w:rPr>
                <w:rFonts w:ascii="SimSun" w:hAnsi="SimSun"/>
                <w:b w:val="false"/>
                <w:i w:val="false"/>
                <w:color w:val="000000"/>
                <w:sz w:val="21"/>
              </w:rPr>
              <w:t>American Politics and Foreign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欧盟政治与对外关系</w:t>
            </w:r>
            <w:r>
              <w:br/>
            </w:r>
            <w:r>
              <w:rPr>
                <w:rFonts w:ascii="SimSun" w:hAnsi="SimSun"/>
                <w:b w:val="false"/>
                <w:i w:val="false"/>
                <w:color w:val="000000"/>
                <w:sz w:val="21"/>
              </w:rPr>
              <w:t>Politics and External Relations of the European Union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日本政治与对外关系</w:t>
            </w:r>
            <w:r>
              <w:br/>
            </w:r>
            <w:r>
              <w:rPr>
                <w:rFonts w:ascii="SimSun" w:hAnsi="SimSun"/>
                <w:b w:val="false"/>
                <w:i w:val="false"/>
                <w:color w:val="000000"/>
                <w:sz w:val="21"/>
              </w:rPr>
              <w:t>Politics and Foreign Relations of Japan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发展中国家政治与对外关系</w:t>
            </w:r>
            <w:r>
              <w:br/>
            </w:r>
            <w:r>
              <w:rPr>
                <w:rFonts w:ascii="SimSun" w:hAnsi="SimSun"/>
                <w:b w:val="false"/>
                <w:i w:val="false"/>
                <w:color w:val="000000"/>
                <w:sz w:val="21"/>
              </w:rPr>
              <w:t>Politics and External Relations of the developing countries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外交实务</w:t>
            </w:r>
            <w:r>
              <w:br/>
            </w:r>
            <w:r>
              <w:rPr>
                <w:rFonts w:ascii="SimSun" w:hAnsi="SimSun"/>
                <w:b w:val="false"/>
                <w:i w:val="false"/>
                <w:color w:val="000000"/>
                <w:sz w:val="21"/>
              </w:rPr>
              <w:t>Foreign Affairs Practice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全球公共政策</w:t>
            </w:r>
            <w:r>
              <w:br/>
            </w:r>
            <w:r>
              <w:rPr>
                <w:rFonts w:ascii="SimSun" w:hAnsi="SimSun"/>
                <w:b w:val="false"/>
                <w:i w:val="false"/>
                <w:color w:val="000000"/>
                <w:sz w:val="21"/>
              </w:rPr>
              <w:t>Global Public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涉外法治与国际关系</w:t>
            </w:r>
            <w:r>
              <w:br/>
            </w:r>
            <w:r>
              <w:rPr>
                <w:rFonts w:ascii="SimSun" w:hAnsi="SimSun"/>
                <w:b w:val="false"/>
                <w:i w:val="false"/>
                <w:color w:val="000000"/>
                <w:sz w:val="21"/>
              </w:rPr>
              <w:t>Foreign-related Rule of Law and International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国际战略</w:t>
            </w:r>
            <w:r>
              <w:br/>
            </w:r>
            <w:r>
              <w:rPr>
                <w:rFonts w:ascii="SimSun" w:hAnsi="SimSun"/>
                <w:b w:val="false"/>
                <w:i w:val="false"/>
                <w:color w:val="000000"/>
                <w:sz w:val="21"/>
              </w:rPr>
              <w:t>International Strategy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人工智能时代的国际关系</w:t>
            </w:r>
            <w:r>
              <w:br/>
            </w:r>
            <w:r>
              <w:rPr>
                <w:rFonts w:ascii="SimSun" w:hAnsi="SimSun"/>
                <w:b w:val="false"/>
                <w:i w:val="false"/>
                <w:color w:val="000000"/>
                <w:sz w:val="21"/>
              </w:rPr>
              <w:t>International Relations in the Age of Artificial Intelligence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AIS310011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政策调研与写作</w:t>
            </w:r>
            <w:r>
              <w:br/>
            </w:r>
            <w:r>
              <w:rPr>
                <w:rFonts w:ascii="SimSun" w:hAnsi="SimSun"/>
                <w:b w:val="false"/>
                <w:i w:val="false"/>
                <w:color w:val="000000"/>
                <w:sz w:val="21"/>
              </w:rPr>
              <w:t>Practical Guide to Survey Research and Public Policy Papers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GEXZ10024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政策推演与模拟</w:t>
            </w:r>
            <w:r>
              <w:br/>
            </w:r>
            <w:r>
              <w:rPr>
                <w:rFonts w:ascii="SimSun" w:hAnsi="SimSun"/>
                <w:b w:val="false"/>
                <w:i w:val="false"/>
                <w:color w:val="000000"/>
                <w:sz w:val="21"/>
              </w:rPr>
              <w:t>Policy Simulation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行政与外交文书</w:t>
            </w:r>
            <w:r>
              <w:br/>
            </w:r>
            <w:r>
              <w:rPr>
                <w:rFonts w:ascii="SimSun" w:hAnsi="SimSun"/>
                <w:b w:val="false"/>
                <w:i w:val="false"/>
                <w:color w:val="000000"/>
                <w:sz w:val="21"/>
              </w:rPr>
              <w:t>Administrative and Diplomatic Document Writing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俄罗斯政治与对外关系</w:t>
            </w:r>
            <w:r>
              <w:br/>
            </w:r>
            <w:r>
              <w:rPr>
                <w:rFonts w:ascii="SimSun" w:hAnsi="SimSun"/>
                <w:b w:val="false"/>
                <w:i w:val="false"/>
                <w:color w:val="000000"/>
                <w:sz w:val="21"/>
              </w:rPr>
              <w:t>Russian Politics and Foreign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东南亚政治与对外关系</w:t>
            </w:r>
            <w:r>
              <w:br/>
            </w:r>
            <w:r>
              <w:rPr>
                <w:rFonts w:ascii="SimSun" w:hAnsi="SimSun"/>
                <w:b w:val="false"/>
                <w:i w:val="false"/>
                <w:color w:val="000000"/>
                <w:sz w:val="21"/>
              </w:rPr>
              <w:t>Southeast Asian Politics and External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中东政治与对外关系</w:t>
            </w:r>
            <w:r>
              <w:br/>
            </w:r>
            <w:r>
              <w:rPr>
                <w:rFonts w:ascii="SimSun" w:hAnsi="SimSun"/>
                <w:b w:val="false"/>
                <w:i w:val="false"/>
                <w:color w:val="000000"/>
                <w:sz w:val="21"/>
              </w:rPr>
              <w:t>Middle Eastern Politics and Diplomacy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地中海政治与对外关系</w:t>
            </w:r>
            <w:r>
              <w:br/>
            </w:r>
            <w:r>
              <w:rPr>
                <w:rFonts w:ascii="SimSun" w:hAnsi="SimSun"/>
                <w:b w:val="false"/>
                <w:i w:val="false"/>
                <w:color w:val="000000"/>
                <w:sz w:val="21"/>
              </w:rPr>
              <w:t>Mediterranean Politics and Foreign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非洲政治与对外关系</w:t>
            </w:r>
            <w:r>
              <w:br/>
            </w:r>
            <w:r>
              <w:rPr>
                <w:rFonts w:ascii="SimSun" w:hAnsi="SimSun"/>
                <w:b w:val="false"/>
                <w:i w:val="false"/>
                <w:color w:val="000000"/>
                <w:sz w:val="21"/>
              </w:rPr>
              <w:t>The Politics and External Relations in Africa</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港台政治与行政</w:t>
            </w:r>
            <w:r>
              <w:br/>
            </w:r>
            <w:r>
              <w:rPr>
                <w:rFonts w:ascii="SimSun" w:hAnsi="SimSun"/>
                <w:b w:val="false"/>
                <w:i w:val="false"/>
                <w:color w:val="000000"/>
                <w:sz w:val="21"/>
              </w:rPr>
              <w:t>Politics and Administration in Taiwan and Hong Kong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博弈论</w:t>
            </w:r>
            <w:r>
              <w:br/>
            </w:r>
            <w:r>
              <w:rPr>
                <w:rFonts w:ascii="SimSun" w:hAnsi="SimSun"/>
                <w:b w:val="false"/>
                <w:i w:val="false"/>
                <w:color w:val="000000"/>
                <w:sz w:val="21"/>
              </w:rPr>
              <w:t>Game Theory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田野调查方法</w:t>
            </w:r>
            <w:r>
              <w:br/>
            </w:r>
            <w:r>
              <w:rPr>
                <w:rFonts w:ascii="SimSun" w:hAnsi="SimSun"/>
                <w:b w:val="false"/>
                <w:i w:val="false"/>
                <w:color w:val="000000"/>
                <w:sz w:val="21"/>
              </w:rPr>
              <w:t>Fieldwork Method</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国际谈判</w:t>
            </w:r>
            <w:r>
              <w:br/>
            </w:r>
            <w:r>
              <w:rPr>
                <w:rFonts w:ascii="SimSun" w:hAnsi="SimSun"/>
                <w:b w:val="false"/>
                <w:i w:val="false"/>
                <w:color w:val="000000"/>
                <w:sz w:val="21"/>
              </w:rPr>
              <w:t>International Negotiation</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POLI30043</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选修课</w:t>
            </w:r>
          </w:p>
        </w:tc>
        <w:tc>
          <w:tcPr>
            <w:tcW w:w="1595"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专业进阶II（10学分）
      </w:t>
      </w:r>
    </w:p>
    <w:p>
      <w:pPr>
        <w:spacing w:after="0"/>
        <w:ind w:left="0"/>
        <w:jc w:val="left"/>
      </w:pPr>
      <w:r>
        <w:rPr>
          <w:rFonts w:ascii="SimSun" w:hAnsi="SimSun"/>
          <w:b w:val="false"/>
          <w:i w:val="false"/>
          <w:color w:val="000000"/>
          <w:sz w:val="21"/>
        </w:rPr>
        <w:t xml:space="preserve">
       II.硕士实务实践高阶课程模块（10学分）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战略研究与政策分析</w:t>
            </w:r>
            <w:r>
              <w:br/>
            </w:r>
            <w:r>
              <w:rPr>
                <w:rFonts w:ascii="SimSun" w:hAnsi="SimSun"/>
                <w:b w:val="false"/>
                <w:i w:val="false"/>
                <w:color w:val="000000"/>
                <w:sz w:val="21"/>
              </w:rPr>
              <w:t>Strategic Studies and Policy Analysis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中国外交理论与实践</w:t>
            </w:r>
            <w:r>
              <w:br/>
            </w:r>
            <w:r>
              <w:rPr>
                <w:rFonts w:ascii="SimSun" w:hAnsi="SimSun"/>
                <w:b w:val="false"/>
                <w:i w:val="false"/>
                <w:color w:val="000000"/>
                <w:sz w:val="21"/>
              </w:rPr>
              <w:t>China’s Diplomacy: Theory and Practice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MIA60006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比较外交政策</w:t>
            </w:r>
            <w:r>
              <w:br/>
            </w:r>
            <w:r>
              <w:rPr>
                <w:rFonts w:ascii="SimSun" w:hAnsi="SimSun"/>
                <w:b w:val="false"/>
                <w:i w:val="false"/>
                <w:color w:val="000000"/>
                <w:sz w:val="21"/>
              </w:rPr>
              <w:t>Comparative Foreign Policy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POLI60007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全球治理前沿专题</w:t>
            </w:r>
            <w:r>
              <w:br/>
            </w:r>
            <w:r>
              <w:rPr>
                <w:rFonts w:ascii="SimSun" w:hAnsi="SimSun"/>
                <w:b w:val="false"/>
                <w:i w:val="false"/>
                <w:color w:val="000000"/>
                <w:sz w:val="21"/>
              </w:rPr>
              <w:t>Advanced Studies on Global Governance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国际组织专题研究</w:t>
            </w:r>
            <w:r>
              <w:br/>
            </w:r>
            <w:r>
              <w:rPr>
                <w:rFonts w:ascii="SimSun" w:hAnsi="SimSun"/>
                <w:b w:val="false"/>
                <w:i w:val="false"/>
                <w:color w:val="000000"/>
                <w:sz w:val="21"/>
              </w:rPr>
              <w:t>Advanced Studies on International organization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国际发展专题研究</w:t>
            </w:r>
            <w:r>
              <w:br/>
            </w:r>
            <w:r>
              <w:rPr>
                <w:rFonts w:ascii="SimSun" w:hAnsi="SimSun"/>
                <w:b w:val="false"/>
                <w:i w:val="false"/>
                <w:color w:val="000000"/>
                <w:sz w:val="21"/>
              </w:rPr>
              <w:t>Advanced Studies on International Development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国际安全专题研究</w:t>
            </w:r>
            <w:r>
              <w:br/>
            </w:r>
            <w:r>
              <w:rPr>
                <w:rFonts w:ascii="SimSun" w:hAnsi="SimSun"/>
                <w:b w:val="false"/>
                <w:i w:val="false"/>
                <w:color w:val="000000"/>
                <w:sz w:val="21"/>
              </w:rPr>
              <w:t>Advanced Studies on International Security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国际制度专题研究</w:t>
            </w:r>
            <w:r>
              <w:br/>
            </w:r>
            <w:r>
              <w:rPr>
                <w:rFonts w:ascii="SimSun" w:hAnsi="SimSun"/>
                <w:b w:val="false"/>
                <w:i w:val="false"/>
                <w:color w:val="000000"/>
                <w:sz w:val="21"/>
              </w:rPr>
              <w:t>International Institutions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POLI60053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国际法专题研究</w:t>
            </w:r>
            <w:r>
              <w:br/>
            </w:r>
            <w:r>
              <w:rPr>
                <w:rFonts w:ascii="SimSun" w:hAnsi="SimSun"/>
                <w:b w:val="false"/>
                <w:i w:val="false"/>
                <w:color w:val="000000"/>
                <w:sz w:val="21"/>
              </w:rPr>
              <w:t>Advanced Studies on International Law</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国际秩序专题研究</w:t>
            </w:r>
            <w:r>
              <w:br/>
            </w:r>
            <w:r>
              <w:rPr>
                <w:rFonts w:ascii="SimSun" w:hAnsi="SimSun"/>
                <w:b w:val="false"/>
                <w:i w:val="false"/>
                <w:color w:val="000000"/>
                <w:sz w:val="21"/>
              </w:rPr>
              <w:t>Advanced Studies on International Order</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网络空间治理专题研究</w:t>
            </w:r>
            <w:r>
              <w:br/>
            </w:r>
            <w:r>
              <w:rPr>
                <w:rFonts w:ascii="SimSun" w:hAnsi="SimSun"/>
                <w:b w:val="false"/>
                <w:i w:val="false"/>
                <w:color w:val="000000"/>
                <w:sz w:val="21"/>
              </w:rPr>
              <w:t>Advanced Studies on Cyberspace Governance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美国专题研究</w:t>
            </w:r>
            <w:r>
              <w:br/>
            </w:r>
            <w:r>
              <w:rPr>
                <w:rFonts w:ascii="SimSun" w:hAnsi="SimSun"/>
                <w:b w:val="false"/>
                <w:i w:val="false"/>
                <w:color w:val="000000"/>
                <w:sz w:val="21"/>
              </w:rPr>
              <w:t>Advanced Studies on America</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欧洲专题研究</w:t>
            </w:r>
            <w:r>
              <w:br/>
            </w:r>
            <w:r>
              <w:rPr>
                <w:rFonts w:ascii="SimSun" w:hAnsi="SimSun"/>
                <w:b w:val="false"/>
                <w:i w:val="false"/>
                <w:color w:val="000000"/>
                <w:sz w:val="21"/>
              </w:rPr>
              <w:t>Advanced Studies on European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POLI50004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全球南方专题研究</w:t>
            </w:r>
            <w:r>
              <w:br/>
            </w:r>
            <w:r>
              <w:rPr>
                <w:rFonts w:ascii="SimSun" w:hAnsi="SimSun"/>
                <w:b w:val="false"/>
                <w:i w:val="false"/>
                <w:color w:val="000000"/>
                <w:sz w:val="21"/>
              </w:rPr>
              <w:t>Advanced Studies on the Global South Issues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POLI70007</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i w:val="false"/>
          <w:color w:val="000000"/>
          <w:sz w:val="21"/>
        </w:rPr>
        <w:t xml:space="preserve">
       3.  跨学科发展路径
      </w:t>
      </w:r>
    </w:p>
    <w:p>
      <w:pPr>
        <w:spacing w:after="0"/>
        <w:ind w:left="0"/>
        <w:jc w:val="left"/>
      </w:pPr>
      <w:r>
        <w:rPr>
          <w:rFonts w:ascii="SimSun" w:hAnsi="SimSun"/>
          <w:b/>
          <w:i w:val="false"/>
          <w:color w:val="000000"/>
          <w:sz w:val="21"/>
        </w:rPr>
        <w:t xml:space="preserve">
       4.  创新创业路径
      </w:t>
      </w:r>
    </w:p>
    <w:p>
      <w:pPr>
        <w:spacing w:after="0"/>
        <w:ind w:left="0"/>
        <w:jc w:val="left"/>
      </w:pPr>
      <w:r>
        <w:rPr>
          <w:rFonts w:ascii="SimSun" w:hAnsi="SimSun"/>
          <w:b/>
          <w:i w:val="false"/>
          <w:color w:val="000000"/>
          <w:sz w:val="21"/>
        </w:rPr>
        <w:t xml:space="preserve">
       5.  辅修学士学位路径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融合创新能力（14学分）
      </w:t>
      </w:r>
    </w:p>
    <w:p>
      <w:pPr>
        <w:spacing w:after="0"/>
        <w:ind w:left="0"/>
        <w:jc w:val="left"/>
      </w:pPr>
      <w:r>
        <w:rPr>
          <w:rFonts w:ascii="SimSun" w:hAnsi="SimSun"/>
          <w:b w:val="false"/>
          <w:i w:val="false"/>
          <w:color w:val="000000"/>
          <w:sz w:val="21"/>
        </w:rPr>
        <w:t xml:space="preserve">
       1. 按照“基础型—综合型—创新型”渐次推进、相互衔接的教学体系，在解决复杂问题的过程中培养实践能力，激发批判性思维和科研潜力。
       </w:t>
      </w:r>
      <w:r>
        <w:br/>
      </w:r>
      <w:r>
        <w:rPr>
          <w:rFonts w:ascii="SimSun" w:hAnsi="SimSun"/>
          <w:b w:val="false"/>
          <w:i w:val="false"/>
          <w:color w:val="000000"/>
          <w:sz w:val="21"/>
        </w:rPr>
        <w:t xml:space="preserve">2. 全周期的科研训练体系，在1、2年级设立前沿导论课和无学分讨论班，引导学生早进课题组，培育兴趣。
       </w:t>
      </w:r>
      <w:r>
        <w:br/>
      </w:r>
      <w:r>
        <w:rPr>
          <w:rFonts w:ascii="SimSun" w:hAnsi="SimSun"/>
          <w:b w:val="false"/>
          <w:i w:val="false"/>
          <w:color w:val="000000"/>
          <w:sz w:val="21"/>
        </w:rPr>
        <w:t xml:space="preserve">3. 多渠道支持学生参加国内国际高水平学术交流，鼓励学生参加国内国际高水平创新竞赛。
      </w:t>
      </w:r>
    </w:p>
    <w:tbl>
      <w:tblPr>
        <w:tblW w:w="0" w:type="auto"/>
        <w:tblCellSpacing w:w="0" w:type="auto"/>
        <w:tblBorders>
          <w:top w:val="none"/>
          <w:left w:val="none"/>
          <w:bottom w:val="none"/>
          <w:right w:val="none"/>
          <w:insideH w:val="none"/>
          <w:insideV w:val="none"/>
        </w:tblBorders>
      </w:tblPr>
      <w:tblGrid>
        <w:gridCol w:w="3230"/>
        <w:gridCol w:w="807"/>
        <w:gridCol w:w="807"/>
        <w:gridCol w:w="1130"/>
        <w:gridCol w:w="1635"/>
        <w:gridCol w:w="807"/>
        <w:gridCol w:w="807"/>
        <w:gridCol w:w="807"/>
        <w:gridCol w:w="807"/>
        <w:gridCol w:w="1130"/>
        <w:gridCol w:w="1667"/>
      </w:tblGrid>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其他本科生学术研究计划</w:t>
            </w:r>
            <w:r>
              <w:br/>
            </w:r>
            <w:r>
              <w:rPr>
                <w:rFonts w:ascii="SimSun" w:hAnsi="SimSun"/>
                <w:b w:val="false"/>
                <w:i w:val="false"/>
                <w:color w:val="000000"/>
                <w:sz w:val="21"/>
              </w:rPr>
              <w:t>Other Undergraduate Academic Research Programs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实务实践训练方式之一和实务实践训练方式之二必修2选1
实务实践训练方式之一：学生在本科阶段第三学年末或第四学年初规定时间前以“队长/项目负责人”身份完成一个“中国之治”项目，并以项目调研报告为基础，继续以“队长/项目负责人”身份参加青年全球治理创新设计大赛（YICGG）、澜沧江-湄公河”流域治理与发展青年创新设计大赛（YICMG）、“荣昶学者”全球治理人才培养专项计划、“中国之治”治理案例分析大赛以及复旦大学本科生学科竞赛工作管理办法适用竞赛表所列本学科相关赛事及其他本学院认定的高水平赛事，并进入第二轮。修读认定以项目立项证明材料为准，项目能否设置负责人外成员参照学校政策安排。
实务实践训练方式之二：学生在本科阶段第三学年末或第四学年初规定时间前以“活动组织者”身份至少在1个“中国之治”、“全球之治”或“中国之治”治理案例分析大赛项目组中服务，且服务时长不少于1学年。修读认定以项目组出具的证明材料为准。此外，学生还应以“队长/项目负责人”或“项目团队成员排位前两名（除负责人外）”身份参加青年全球治理创新设计大赛（YICGG）、澜沧江-湄公河”流域治理与发展青年创新设计大赛（YICMG）、“荣昶学者”全球治理人才培养专项计划、“中国之治”治理案例分析大赛以及复旦大学本科生学科竞赛工作管理办法适用竞赛表所列本学科相关赛事及其他本学院认定的高水平赛事，并进入第二轮。学院出台相关政策，为上述竞赛活动的评审工作提供制度保障。
本科毕业论文，可用复芏计划成果为论文主要内容本科毕业时，学生可选择将FDUROP结项报告或参与“薪火计划”时在指导教师指导下独立撰写的研究报告或研究论文作为本科毕业论文送审。学院出台相应配套政策，进行审核与学分认定。若结项报告、研究论文为团队成果，学生在申请用于作为本科毕业论文送审时，应取得指导老师以及课题团队成员书面一致同意，且每份报告或论文只适用一次本科毕业论文答辩申请，不得多人重复使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研究生科研项目</w:t>
            </w:r>
            <w:r>
              <w:br/>
            </w:r>
            <w:r>
              <w:rPr>
                <w:rFonts w:ascii="SimSun" w:hAnsi="SimSun"/>
                <w:b w:val="false"/>
                <w:i w:val="false"/>
                <w:color w:val="000000"/>
                <w:sz w:val="21"/>
              </w:rPr>
              <w:t>Graduate Research Projects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本硕双导师制实务实践训练体系-硕士研究生阶段要求
硕士阶段将学生参与指导国务学院“中国之治”国情育人项目、“全球之治”世情育人项目、“中国之治”治理案例分析大赛以及相关学科竞赛列入本硕融通轨道学生必修项目。学生在硕士研究生培养阶段为至少一个本科生学科竞赛参赛队伍担任“助导”工作，辅助竞赛队伍指导教师提供全程指导，相关认定以有效参赛证明以及指导教师认可材料为准。</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研究生学术活动</w:t>
            </w:r>
            <w:r>
              <w:br/>
            </w:r>
            <w:r>
              <w:rPr>
                <w:rFonts w:ascii="SimSun" w:hAnsi="SimSun"/>
                <w:b w:val="false"/>
                <w:i w:val="false"/>
                <w:color w:val="000000"/>
                <w:sz w:val="21"/>
              </w:rPr>
              <w:t>Graduate Academic Activities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参照学校要求，硕士生在校期间至少听取5次学术报告，并在院系或校级甚至全国性的学术研讨会、学术沙龙或其他公开学术讨论场合作2次学术报告。并作好记录和小结，送交指导老师考核和评分。</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研究生实践活动</w:t>
            </w:r>
            <w:r>
              <w:br/>
            </w:r>
            <w:r>
              <w:rPr>
                <w:rFonts w:ascii="SimSun" w:hAnsi="SimSun"/>
                <w:b w:val="false"/>
                <w:i w:val="false"/>
                <w:color w:val="000000"/>
                <w:sz w:val="21"/>
              </w:rPr>
              <w:t>Graduate Practice Activities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参照学校要求，硕士生在校期间应参加两个星期以上的教学实践或者公共管理实践。并作好记录和小结，送交指导老师考核和评分。</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专业外语</w:t>
            </w:r>
            <w:r>
              <w:br/>
            </w:r>
            <w:r>
              <w:rPr>
                <w:rFonts w:ascii="SimSun" w:hAnsi="SimSun"/>
                <w:b w:val="false"/>
                <w:i w:val="false"/>
                <w:color w:val="000000"/>
                <w:sz w:val="21"/>
              </w:rPr>
              <w:t>Professional Foreign Language</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至少修读1门全英语的研究生课程</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硕士学位论文开题</w:t>
            </w:r>
            <w:r>
              <w:br/>
            </w:r>
            <w:r>
              <w:rPr>
                <w:rFonts w:ascii="SimSun" w:hAnsi="SimSun"/>
                <w:b w:val="false"/>
                <w:i w:val="false"/>
                <w:color w:val="000000"/>
                <w:sz w:val="21"/>
              </w:rPr>
              <w:t>Master's Thesis Proposal</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在第8学期完成，详见国务学院论文开题实施细则</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硕士论文中期考核</w:t>
            </w:r>
            <w:r>
              <w:br/>
            </w:r>
            <w:r>
              <w:rPr>
                <w:rFonts w:ascii="SimSun" w:hAnsi="SimSun"/>
                <w:b w:val="false"/>
                <w:i w:val="false"/>
                <w:color w:val="000000"/>
                <w:sz w:val="21"/>
              </w:rPr>
              <w:t>Master's Thesis Mid-Term Review</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在第10学期完成，见国务学院中期考核实施细则</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硕士学位论文预审</w:t>
            </w:r>
            <w:r>
              <w:br/>
            </w:r>
            <w:r>
              <w:rPr>
                <w:rFonts w:ascii="SimSun" w:hAnsi="SimSun"/>
                <w:b w:val="false"/>
                <w:i w:val="false"/>
                <w:color w:val="000000"/>
                <w:sz w:val="21"/>
              </w:rPr>
              <w:t>Master's Thesis Pre-Review</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硕士学位论文预审由院系组织，具体参照《复旦大学博士、硕士学位论文预审办法》《复旦大学博士研究生培养分流退出实施办法》及院系相关文件规定执行。</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POLI40012</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毕业时，学生可选择将FDUROP结项报告或参与“薪火计划”时在指导教师指导下独立撰写的研究报告或研究论文作为本科毕业论文送审。学院出台相应配套政策，进行审核与学分认定。若结项报告、研究论文为团队成果，学生在申请用于作为本科毕业论文送审时，应取得指导老师以及课题团队成员书面一致同意，且每份报告或论文只适用一次本科毕业论文答辩申请，不得多人重复使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POLI40011</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科研实践Ⅰ</w:t>
            </w:r>
            <w:r>
              <w:br/>
            </w:r>
            <w:r>
              <w:rPr>
                <w:rFonts w:ascii="SimSun" w:hAnsi="SimSun"/>
                <w:b w:val="false"/>
                <w:i w:val="false"/>
                <w:color w:val="000000"/>
                <w:sz w:val="21"/>
              </w:rPr>
              <w:t>Research PracticeⅠ</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POLI30065</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