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2026国际政治专业-本科培养方案（普通学生适用）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理念，构建“2+X+Y”特色培养模式（“2”为通识教育与专业基础教育，“X”为多元发展路径，“Y”为融合创新能力培养），致力于培养德智体美劳全面发展的高素质复合型人才。通过系统的专业教育，毕业生将具备扎实的马克思主义理论素养、国际政治理论功底和较强的实践能力，能够在党政机关、企事业单位、社会团体从事外交外事、国际传播和行政管理等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培养标准：</w:t>
      </w:r>
      <w:r>
        <w:br/>
      </w:r>
      <w:r>
        <w:rPr>
          <w:rFonts w:ascii="SimSun" w:hAnsi="SimSun"/>
          <w:b w:val="false"/>
          <w:i w:val="false"/>
          <w:color w:val="000000"/>
          <w:sz w:val="21"/>
        </w:rPr>
        <w:t>（1）具有本学科扎实的理论基础。</w:t>
      </w:r>
      <w:r>
        <w:br/>
      </w:r>
      <w:r>
        <w:rPr>
          <w:rFonts w:ascii="SimSun" w:hAnsi="SimSun"/>
          <w:b w:val="false"/>
          <w:i w:val="false"/>
          <w:color w:val="000000"/>
          <w:sz w:val="21"/>
        </w:rPr>
        <w:t>（2）能参与设计并完成具有理论价值和现实意义的专题研究。</w:t>
      </w:r>
      <w:r>
        <w:br/>
      </w:r>
      <w:r>
        <w:rPr>
          <w:rFonts w:ascii="SimSun" w:hAnsi="SimSun"/>
          <w:b w:val="false"/>
          <w:i w:val="false"/>
          <w:color w:val="000000"/>
          <w:sz w:val="21"/>
        </w:rPr>
        <w:t>（3）具备较强的实证调研能力和学术写作能力。</w:t>
      </w:r>
      <w:r>
        <w:br/>
      </w:r>
      <w:r>
        <w:rPr>
          <w:rFonts w:ascii="SimSun" w:hAnsi="SimSun"/>
          <w:b w:val="false"/>
          <w:i w:val="false"/>
          <w:color w:val="000000"/>
          <w:sz w:val="21"/>
        </w:rPr>
        <w:t>（4）熟练运用一门外语进行专业文献研读。</w:t>
      </w:r>
      <w:r>
        <w:br/>
      </w:r>
      <w:r>
        <w:rPr>
          <w:rFonts w:ascii="SimSun" w:hAnsi="SimSun"/>
          <w:b w:val="false"/>
          <w:i w:val="false"/>
          <w:color w:val="000000"/>
          <w:sz w:val="21"/>
        </w:rPr>
        <w:t>培养模式：实行"导师负责制"，充分发挥导师的学术引领作用；采用"理论学习+科研实践"的双轨培养模式，推行研讨式、案例式等互动教学方法，强化课内外实践环节的有机结合；坚持因材施教与过程考核并重。</w:t>
      </w:r>
    </w:p>
    <w:p>
      <w:pPr>
        <w:spacing w:after="0"/>
        <w:ind w:left="0"/>
        <w:jc w:val="left"/>
      </w:pPr>
      <w:r>
        <w:drawing>
          <wp:inline distT="0" distB="0" distL="0" distR="0">
            <wp:extent cx="5732145" cy="181892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18923"/>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137学分（含实践学分不低于21学分；含美育学分不少于2学分，其中至少在“美学和艺术史论类”或“艺术鉴赏和评论类”课程中修读1学分，并至少参与一项艺术实践活动；劳动教育不少于32学时，并满足劳动周教育要求），包括通识教育课程38学分、全球领导力课程模块64学分、本科多元发展模块25学分，满足融合创新能力10学分等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四年级结束时，如达到学士学位要求者授予法学学士学位。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46976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46976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以33学分的基础课程包和31学分的专业核心课程包建立了全球领导力的核心课程体系，难度逐级提升。为鼓励学生的多元发展，学生可自行选择修读X课程模块，包括本博学术创新衔接课程包，博士学术创新高阶课程模块。鼓励学生修读荣誉课程。</w:t>
      </w:r>
      <w:r>
        <w:br/>
      </w:r>
      <w:r>
        <w:rPr>
          <w:rFonts w:ascii="SimSun" w:hAnsi="SimSun"/>
          <w:b w:val="false"/>
          <w:i w:val="false"/>
          <w:color w:val="000000"/>
          <w:sz w:val="21"/>
        </w:rPr>
        <w:t>2.训练体系</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本科毕业时，本科轨道学生可将学术或实务训练项目成果直接作为毕业论文申请送审，也可以单独撰写毕业论文。</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专业培养课程（64学分）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专业核心教育课程（31学分）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国际安全概论</w:t>
            </w:r>
            <w:r>
              <w:br/>
            </w:r>
            <w:r>
              <w:rPr>
                <w:rFonts w:ascii="SimSun" w:hAnsi="SimSun"/>
                <w:b w:val="false"/>
                <w:i w:val="false"/>
                <w:color w:val="000000"/>
                <w:sz w:val="21"/>
              </w:rPr>
              <w:t>Introduction to International Security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专业进阶路径（25学分）
      </w:t>
      </w:r>
    </w:p>
    <w:p>
      <w:pPr>
        <w:spacing w:after="0"/>
        <w:ind w:left="0"/>
        <w:jc w:val="left"/>
      </w:pPr>
      <w:r>
        <w:rPr>
          <w:rFonts w:ascii="SimSun" w:hAnsi="SimSun"/>
          <w:b w:val="false"/>
          <w:i w:val="false"/>
          <w:color w:val="000000"/>
          <w:sz w:val="21"/>
        </w:rPr>
        <w:t xml:space="preserve">
       要求在本专业专业进阶模块修读进阶I 25学分。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外交实务</w:t>
            </w:r>
            <w:r>
              <w:br/>
            </w:r>
            <w:r>
              <w:rPr>
                <w:rFonts w:ascii="SimSun" w:hAnsi="SimSun"/>
                <w:b w:val="false"/>
                <w:i w:val="false"/>
                <w:color w:val="000000"/>
                <w:sz w:val="21"/>
              </w:rPr>
              <w:t>Foreign Affairs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w:t>
            </w:r>
            <w:r>
              <w:br/>
            </w:r>
            <w:r>
              <w:rPr>
                <w:rFonts w:ascii="SimSun" w:hAnsi="SimSun"/>
                <w:b w:val="false"/>
                <w:i w:val="false"/>
                <w:color w:val="000000"/>
                <w:sz w:val="21"/>
              </w:rPr>
              <w:t>International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POLI30043</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修满25学分。要求修读2个非本专业独立开设的微专业（学程），可选择专业学程或跨学科微专业（学程）。学分不足部分可在全校所有本科生课程中任意选修。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学程课程详见教务处微专业（学程）项目网页，下载地址：https://jwc.fudan.edu.cn/（复旦大学教务处）专业培养-常用文档。完成学程修读要求的学生可获得相应的微专业（学程）证书。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25学分。要求修读1个创新创业学院开设的创新创业微专业（学程），以及1个非本专业独立开设的专业微专业（学程）或跨学科微专业（学程）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辅修学士学位路径（65学分）
      </w:t>
      </w:r>
    </w:p>
    <w:p>
      <w:pPr>
        <w:spacing w:after="0"/>
        <w:ind w:left="0"/>
        <w:jc w:val="left"/>
      </w:pPr>
      <w:r>
        <w:rPr>
          <w:rFonts w:ascii="SimSun" w:hAnsi="SimSun"/>
          <w:b w:val="false"/>
          <w:i w:val="false"/>
          <w:color w:val="000000"/>
          <w:sz w:val="21"/>
        </w:rPr>
        <w:t xml:space="preserve">
       要求至少修读1个本专业进阶课程模块和1个外院系开设的辅修学士学位项目，辅修学士学位应与主修学士学位归属不同的本科专业大类。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多元发展路径中，专业进阶课程模块或辅修学士学位项目均可以冲抵学程，专业培养和多元发展路径共享的课程只计算一次学分。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