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2026政治学与行政学专业-本科培养方案（普通学生适用）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政治学系拥有一支高水平的教学研究队伍，现有专职教师27名，其中教授15名，副教授6名，讲师和青年副研究员6名。教学研究方向涵盖政治学理论、中国政治、比较政治、政治哲学等多个领域，具体包括国家治理、政党政治、人大政治、协商政治、选举政治、社区政治、城市政治、族群政治、社会治理、环境治理、网络政治等重大主题。</w:t>
      </w:r>
      <w:r>
        <w:br/>
      </w:r>
      <w:r>
        <w:rPr>
          <w:rFonts w:ascii="SimSun" w:hAnsi="SimSun"/>
          <w:b w:val="false"/>
          <w:i w:val="false"/>
          <w:color w:val="000000"/>
          <w:sz w:val="21"/>
        </w:rPr>
        <w:t>政治学系设有政治学理论等二级学科博士点和硕士点以及政治学与行政学本科专业（国家级一流本科建设专业点），教师承担本科、硕士研究生、博士研究生课程70余门，教学研究队伍承担大量国家和上海市的社会科学研究课题、政策咨询课题，荣获众多国家和上海市教学成果奖、优秀学术成果奖，出版的各类著作和论文在国内外具有重大影响。</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要求，本专业培养具有一定马克思主义理论素养和政治学、行政学方面的基本理论和专门知识，能在党政机关、新闻出版机构、企事业和社会团体等单位从事教学科研、行政管理等方面的政治学和行政学专门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掌握马克思主义基本原理和政治学、行政学、国际政治学和法学的基本理论知识；掌握辩证唯物主义和历史唯物主义的基本观点和分析方法；了解有关政治体制和决策过程以及党政管理法律、制度、方针、政策；熟练掌握一门外语；了解政治学及行政学、法学、国际政治学等相关学科的发展动态；掌握文献检索、资料查询和调查研究的基本方法和手段，具有较强的科学研究能力和组织领导能力。</w:t>
      </w:r>
    </w:p>
    <w:p>
      <w:pPr>
        <w:spacing w:after="0"/>
        <w:ind w:left="0"/>
        <w:jc w:val="left"/>
      </w:pPr>
      <w:r>
        <w:drawing>
          <wp:inline distT="0" distB="0" distL="0" distR="0">
            <wp:extent cx="5732145" cy="196835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968359"/>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需要完成135学分（含实践学分不低于20.5学分；含美育学分不少于2学分，其中至少在“美学和艺术史论类”或“艺术鉴赏和评论类”课程中修读1学分，并至少参与一项艺术实践活动；劳动教育不少于32学时，并满足劳动周教育要求），包括通识教育课程38学分、全球领导力课程模块62学分、本科多元发展模块25学分，满足融合创新能力10学分等要求。</w:t>
      </w:r>
    </w:p>
    <w:p>
      <w:pPr>
        <w:spacing w:after="0"/>
        <w:ind w:left="0"/>
        <w:jc w:val="left"/>
      </w:pPr>
      <w:r>
        <w:drawing>
          <wp:inline distT="0" distB="0" distL="0" distR="0">
            <wp:extent cx="5732145" cy="19875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7561"/>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四年级结束时，如达到学士学位要求者授予法学学士学位。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237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523768"/>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1.课程体系                                        </w:t>
      </w:r>
      <w:r>
        <w:br/>
      </w:r>
      <w:r>
        <w:rPr>
          <w:rFonts w:ascii="SimSun" w:hAnsi="SimSun"/>
          <w:b w:val="false"/>
          <w:i w:val="false"/>
          <w:color w:val="000000"/>
          <w:sz w:val="21"/>
        </w:rPr>
        <w:t>以3门高难度、大学分的荣誉课程为基础建立本研融通的专业核心课程体系，以学科领域为横、课程内容梯度为纵建立了难度逐级提升的本研融通的专业进阶课程体系。鼓励学生修读荣誉课程。</w:t>
      </w:r>
      <w:r>
        <w:br/>
      </w:r>
      <w:r>
        <w:rPr>
          <w:rFonts w:ascii="SimSun" w:hAnsi="SimSun"/>
          <w:b w:val="false"/>
          <w:i w:val="false"/>
          <w:color w:val="000000"/>
          <w:sz w:val="21"/>
        </w:rPr>
        <w:t xml:space="preserve">2.训练体系                                        </w:t>
      </w:r>
      <w:r>
        <w:br/>
      </w: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本科毕业时，本科轨道学生可将学术或实务训练项目成果直接作为毕业论文申请送审，也可以单独撰写毕业论文。</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专业培养课程（62学分）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专业核心教育课程（29学分）
      </w:t>
      </w:r>
    </w:p>
    <w:tbl>
      <w:tblPr>
        <w:tblW w:w="0" w:type="auto"/>
        <w:tblCellSpacing w:w="0" w:type="auto"/>
        <w:tblBorders>
          <w:top w:val="none"/>
          <w:left w:val="none"/>
          <w:bottom w:val="none"/>
          <w:right w:val="none"/>
          <w:insideH w:val="none"/>
          <w:insideV w:val="none"/>
        </w:tblBorders>
      </w:tblPr>
      <w:tblGrid>
        <w:gridCol w:w="2063"/>
        <w:gridCol w:w="2751"/>
        <w:gridCol w:w="687"/>
        <w:gridCol w:w="687"/>
        <w:gridCol w:w="962"/>
        <w:gridCol w:w="1395"/>
        <w:gridCol w:w="687"/>
        <w:gridCol w:w="687"/>
        <w:gridCol w:w="687"/>
        <w:gridCol w:w="687"/>
        <w:gridCol w:w="963"/>
        <w:gridCol w:w="1378"/>
      </w:tblGrid>
      <w:tr>
        <w:trPr>
          <w:trHeight w:val="45" w:hRule="atLeast"/>
        </w:trPr>
        <w:tc>
          <w:tcPr>
            <w:tcW w:w="20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63"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中国政治思想史</w:t>
            </w:r>
            <w:r>
              <w:br/>
            </w:r>
            <w:r>
              <w:rPr>
                <w:rFonts w:ascii="SimSun" w:hAnsi="SimSun"/>
                <w:b w:val="false"/>
                <w:i w:val="false"/>
                <w:color w:val="000000"/>
                <w:sz w:val="21"/>
              </w:rPr>
              <w:t>History of Chinese Political Thought</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POLI20006</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中国政治制度史</w:t>
            </w:r>
            <w:r>
              <w:br/>
            </w:r>
            <w:r>
              <w:rPr>
                <w:rFonts w:ascii="SimSun" w:hAnsi="SimSun"/>
                <w:b w:val="false"/>
                <w:i w:val="false"/>
                <w:color w:val="000000"/>
                <w:sz w:val="21"/>
              </w:rPr>
              <w:t>History of the Chinese Political System</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中国社会政治分析</w:t>
            </w:r>
            <w:r>
              <w:br/>
            </w:r>
            <w:r>
              <w:rPr>
                <w:rFonts w:ascii="SimSun" w:hAnsi="SimSun"/>
                <w:b w:val="false"/>
                <w:i w:val="false"/>
                <w:color w:val="000000"/>
                <w:sz w:val="21"/>
              </w:rPr>
              <w:t>Political Analysis of Chinese Society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西方政治思想史（上）</w:t>
            </w:r>
            <w:r>
              <w:br/>
            </w:r>
            <w:r>
              <w:rPr>
                <w:rFonts w:ascii="SimSun" w:hAnsi="SimSun"/>
                <w:b w:val="false"/>
                <w:i w:val="false"/>
                <w:color w:val="000000"/>
                <w:sz w:val="21"/>
              </w:rPr>
              <w:t>History of Western Political Thought 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POLI20013</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西方政治思想史（下）</w:t>
            </w:r>
            <w:r>
              <w:br/>
            </w:r>
            <w:r>
              <w:rPr>
                <w:rFonts w:ascii="SimSun" w:hAnsi="SimSun"/>
                <w:b w:val="false"/>
                <w:i w:val="false"/>
                <w:color w:val="000000"/>
                <w:sz w:val="21"/>
              </w:rPr>
              <w:t>History of Western Political Thought  Ⅱ</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POLI20014</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当代西方政治学</w:t>
            </w:r>
            <w:r>
              <w:br/>
            </w:r>
            <w:r>
              <w:rPr>
                <w:rFonts w:ascii="SimSun" w:hAnsi="SimSun"/>
                <w:b w:val="false"/>
                <w:i w:val="false"/>
                <w:color w:val="000000"/>
                <w:sz w:val="21"/>
              </w:rPr>
              <w:t>Western Political Science</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国家理论研究</w:t>
            </w:r>
            <w:r>
              <w:br/>
            </w:r>
            <w:r>
              <w:rPr>
                <w:rFonts w:ascii="SimSun" w:hAnsi="SimSun"/>
                <w:b w:val="false"/>
                <w:i w:val="false"/>
                <w:color w:val="000000"/>
                <w:sz w:val="21"/>
              </w:rPr>
              <w:t>Study of State Theory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比较政治学导论</w:t>
            </w:r>
            <w:r>
              <w:br/>
            </w:r>
            <w:r>
              <w:rPr>
                <w:rFonts w:ascii="SimSun" w:hAnsi="SimSun"/>
                <w:b w:val="false"/>
                <w:i w:val="false"/>
                <w:color w:val="000000"/>
                <w:sz w:val="21"/>
              </w:rPr>
              <w:t>Introduction to Comparative Politics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 、跨学科发展（含辅修学士学位项目）和创新创业等不同路径，要求在院系专业导师指导下选择一条发展路径，按路径要求修读课程。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专业进阶路径（25学分）
      </w:t>
      </w:r>
    </w:p>
    <w:p>
      <w:pPr>
        <w:spacing w:after="0"/>
        <w:ind w:left="0"/>
        <w:jc w:val="left"/>
      </w:pPr>
      <w:r>
        <w:rPr>
          <w:rFonts w:ascii="SimSun" w:hAnsi="SimSun"/>
          <w:b w:val="false"/>
          <w:i w:val="false"/>
          <w:color w:val="000000"/>
          <w:sz w:val="21"/>
        </w:rPr>
        <w:t xml:space="preserve">
       要求在本专业专业进阶模块修读进阶I 25学分。
      </w:t>
      </w:r>
    </w:p>
    <w:p>
      <w:pPr>
        <w:spacing w:after="0"/>
        <w:ind w:left="0"/>
        <w:jc w:val="left"/>
      </w:pPr>
      <w:r>
        <w:rPr>
          <w:rFonts w:ascii="SimSun" w:hAnsi="SimSun"/>
          <w:b/>
          <w:i w:val="false"/>
          <w:color w:val="000000"/>
          <w:sz w:val="21"/>
        </w:rPr>
        <w:t xml:space="preserve">
       (1)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政治修辞学</w:t>
            </w:r>
            <w:r>
              <w:br/>
            </w:r>
            <w:r>
              <w:rPr>
                <w:rFonts w:ascii="SimSun" w:hAnsi="SimSun"/>
                <w:b w:val="false"/>
                <w:i w:val="false"/>
                <w:color w:val="000000"/>
                <w:sz w:val="21"/>
              </w:rPr>
              <w:t>Political Rhetoric</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发展政治学</w:t>
            </w:r>
            <w:r>
              <w:br/>
            </w:r>
            <w:r>
              <w:rPr>
                <w:rFonts w:ascii="SimSun" w:hAnsi="SimSun"/>
                <w:b w:val="false"/>
                <w:i w:val="false"/>
                <w:color w:val="000000"/>
                <w:sz w:val="21"/>
              </w:rPr>
              <w:t>Politics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政治社会学</w:t>
            </w:r>
            <w:r>
              <w:br/>
            </w:r>
            <w:r>
              <w:rPr>
                <w:rFonts w:ascii="SimSun" w:hAnsi="SimSun"/>
                <w:b w:val="false"/>
                <w:i w:val="false"/>
                <w:color w:val="000000"/>
                <w:sz w:val="21"/>
              </w:rPr>
              <w:t>Political Sociology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西方政治史经典选读</w:t>
            </w:r>
            <w:r>
              <w:br/>
            </w:r>
            <w:r>
              <w:rPr>
                <w:rFonts w:ascii="SimSun" w:hAnsi="SimSun"/>
                <w:b w:val="false"/>
                <w:i w:val="false"/>
                <w:color w:val="000000"/>
                <w:sz w:val="21"/>
              </w:rPr>
              <w:t>Canons of Western Political Historiography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比较政党制度</w:t>
            </w:r>
            <w:r>
              <w:br/>
            </w:r>
            <w:r>
              <w:rPr>
                <w:rFonts w:ascii="SimSun" w:hAnsi="SimSun"/>
                <w:b w:val="false"/>
                <w:i w:val="false"/>
                <w:color w:val="000000"/>
                <w:sz w:val="21"/>
              </w:rPr>
              <w:t>Comparative Study of Party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比较宪法</w:t>
            </w:r>
            <w:r>
              <w:br/>
            </w:r>
            <w:r>
              <w:rPr>
                <w:rFonts w:ascii="SimSun" w:hAnsi="SimSun"/>
                <w:b w:val="false"/>
                <w:i w:val="false"/>
                <w:color w:val="000000"/>
                <w:sz w:val="21"/>
              </w:rPr>
              <w:t>Comparative Constitution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比较政治经济分析</w:t>
            </w:r>
            <w:r>
              <w:br/>
            </w:r>
            <w:r>
              <w:rPr>
                <w:rFonts w:ascii="SimSun" w:hAnsi="SimSun"/>
                <w:b w:val="false"/>
                <w:i w:val="false"/>
                <w:color w:val="000000"/>
                <w:sz w:val="21"/>
              </w:rPr>
              <w:t>Comparative Political Economy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选举政治学</w:t>
            </w:r>
            <w:r>
              <w:br/>
            </w:r>
            <w:r>
              <w:rPr>
                <w:rFonts w:ascii="SimSun" w:hAnsi="SimSun"/>
                <w:b w:val="false"/>
                <w:i w:val="false"/>
                <w:color w:val="000000"/>
                <w:sz w:val="21"/>
              </w:rPr>
              <w:t>Electoral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政治人类学导论</w:t>
            </w:r>
            <w:r>
              <w:br/>
            </w:r>
            <w:r>
              <w:rPr>
                <w:rFonts w:ascii="SimSun" w:hAnsi="SimSun"/>
                <w:b w:val="false"/>
                <w:i w:val="false"/>
                <w:color w:val="000000"/>
                <w:sz w:val="21"/>
              </w:rPr>
              <w:t>Introduction to Political Anthropology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政治心理学</w:t>
            </w:r>
            <w:r>
              <w:br/>
            </w:r>
            <w:r>
              <w:rPr>
                <w:rFonts w:ascii="SimSun" w:hAnsi="SimSun"/>
                <w:b w:val="false"/>
                <w:i w:val="false"/>
                <w:color w:val="000000"/>
                <w:sz w:val="21"/>
              </w:rPr>
              <w:t>Political Psychology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政治传播学</w:t>
            </w:r>
            <w:r>
              <w:br/>
            </w:r>
            <w:r>
              <w:rPr>
                <w:rFonts w:ascii="SimSun" w:hAnsi="SimSun"/>
                <w:b w:val="false"/>
                <w:i w:val="false"/>
                <w:color w:val="000000"/>
                <w:sz w:val="21"/>
              </w:rPr>
              <w:t>Political Communication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地方政府与治理</w:t>
            </w:r>
            <w:r>
              <w:br/>
            </w:r>
            <w:r>
              <w:rPr>
                <w:rFonts w:ascii="SimSun" w:hAnsi="SimSun"/>
                <w:b w:val="false"/>
                <w:i w:val="false"/>
                <w:color w:val="000000"/>
                <w:sz w:val="21"/>
              </w:rPr>
              <w:t>Local Government and Local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福利政治</w:t>
            </w:r>
            <w:r>
              <w:br/>
            </w:r>
            <w:r>
              <w:rPr>
                <w:rFonts w:ascii="SimSun" w:hAnsi="SimSun"/>
                <w:b w:val="false"/>
                <w:i w:val="false"/>
                <w:color w:val="000000"/>
                <w:sz w:val="21"/>
              </w:rPr>
              <w:t>Welfare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国家治理</w:t>
            </w:r>
            <w:r>
              <w:br/>
            </w:r>
            <w:r>
              <w:rPr>
                <w:rFonts w:ascii="SimSun" w:hAnsi="SimSun"/>
                <w:b w:val="false"/>
                <w:i w:val="false"/>
                <w:color w:val="000000"/>
                <w:sz w:val="21"/>
              </w:rPr>
              <w:t>State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中国共产党研究</w:t>
            </w:r>
            <w:r>
              <w:br/>
            </w:r>
            <w:r>
              <w:rPr>
                <w:rFonts w:ascii="SimSun" w:hAnsi="SimSun"/>
                <w:b w:val="false"/>
                <w:i w:val="false"/>
                <w:color w:val="000000"/>
                <w:sz w:val="21"/>
              </w:rPr>
              <w:t>Study of Chinese Communist Party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纪检监察学原理</w:t>
            </w:r>
            <w:r>
              <w:br/>
            </w:r>
            <w:r>
              <w:rPr>
                <w:rFonts w:ascii="SimSun" w:hAnsi="SimSun"/>
                <w:b w:val="false"/>
                <w:i w:val="false"/>
                <w:color w:val="000000"/>
                <w:sz w:val="21"/>
              </w:rPr>
              <w:t>Theory of Discipline Inspection and Supervision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LAW60020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专业进阶II（0学分）
      </w:t>
      </w:r>
    </w:p>
    <w:p>
      <w:pPr>
        <w:spacing w:after="0"/>
        <w:ind w:left="0"/>
        <w:jc w:val="left"/>
      </w:pPr>
      <w:r>
        <w:rPr>
          <w:rFonts w:ascii="SimSun" w:hAnsi="SimSun"/>
          <w:b w:val="false"/>
          <w:i w:val="false"/>
          <w:color w:val="000000"/>
          <w:sz w:val="21"/>
        </w:rPr>
        <w:t xml:space="preserve">
       II.本科生在本模块需修读0学分。
      </w:t>
      </w:r>
    </w:p>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跨学科发展路径（25学分）
      </w:t>
      </w:r>
    </w:p>
    <w:p>
      <w:pPr>
        <w:spacing w:after="0"/>
        <w:ind w:left="0"/>
        <w:jc w:val="left"/>
      </w:pPr>
      <w:r>
        <w:rPr>
          <w:rFonts w:ascii="SimSun" w:hAnsi="SimSun"/>
          <w:b w:val="false"/>
          <w:i w:val="false"/>
          <w:color w:val="000000"/>
          <w:sz w:val="21"/>
        </w:rPr>
        <w:t xml:space="preserve">
       修满25学分。要求修读2个非本专业独立开设的微专业（学程），可选择专业学程或跨学科微专业（学程）。学分不足部分可在全校所有本科生课程中任意选修。
       </w:t>
      </w:r>
      <w:r>
        <w:br/>
      </w:r>
      <w:r>
        <w:rPr>
          <w:rFonts w:ascii="SimSun" w:hAnsi="SimSun"/>
          <w:b w:val="false"/>
          <w:i w:val="false"/>
          <w:color w:val="000000"/>
          <w:sz w:val="21"/>
        </w:rPr>
        <w:t xml:space="preserve">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创新创业路径（25学分）
      </w:t>
      </w:r>
    </w:p>
    <w:p>
      <w:pPr>
        <w:spacing w:after="0"/>
        <w:ind w:left="0"/>
        <w:jc w:val="left"/>
      </w:pPr>
      <w:r>
        <w:rPr>
          <w:rFonts w:ascii="SimSun" w:hAnsi="SimSun"/>
          <w:b w:val="false"/>
          <w:i w:val="false"/>
          <w:color w:val="000000"/>
          <w:sz w:val="21"/>
        </w:rPr>
        <w:t xml:space="preserve">
       修满25学分。要求修读1个创新创业学院开设的创新创业微专业（学程），以及1个非本专业独立开设的专业微专业（学程）或跨学科微专业（学程）学程。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辅修学士学位路径（65学分）
      </w:t>
      </w:r>
    </w:p>
    <w:p>
      <w:pPr>
        <w:spacing w:after="0"/>
        <w:ind w:left="0"/>
        <w:jc w:val="left"/>
      </w:pPr>
      <w:r>
        <w:rPr>
          <w:rFonts w:ascii="SimSun" w:hAnsi="SimSun"/>
          <w:b w:val="false"/>
          <w:i w:val="false"/>
          <w:color w:val="000000"/>
          <w:sz w:val="21"/>
        </w:rPr>
        <w:t xml:space="preserve">
       要求至少修读1个本专业进阶课程模块和1个外院系开设的辅修学士学位项目，辅修学士学位应与主修学士学位归属不同的本科专业大类。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多元发展路径中，专业进阶课程模块或辅修学士学位项目均可以冲抵学程，专业培养和多元发展路径共享的课程只计算一次学分。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