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2026行政管理专业-公共管理-本博融通培养方案（留学生适用）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秉持“宽口径、厚基础、重能力、求创新”的人才培养理念，构建了“2+X+Y”培养模式（2是通识和专业教育，X是多元发展路径，Y为融合创新能力），致力于培养德智体美劳全面发展的复合型高级专门人才。通过系统的专业教育，学生将具备国家治理现代化、政治学、公共行政学、公共政策、应急管理、人工智能等方面的基本理论与专门知识，具备扎实的学术素养和实践能力，能够胜任高等院校、科研机构的教学与科研工作，或在党政机关、企事业单位从事行政管理、政策分析、应急管理与综合保障等专业工作。  </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政治学、行政学、国际政治学和法学的基本理论知识；具备辩证唯物主义和历史唯物主义的基本观点和分析方法；深入了解社会治理与公共服务以及党政管理相关的法律、制度、方针、政策；熟练掌握一门外语；了解公共管理学、政治学、经济学、管理学、社会学、法学和国际政治学等相关学科的发展动态；掌握高级文献检索、资料查询和调查研究的高级方法，善于运用复杂研究工具，具备卓越的科学研究能力和团队建设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 xml:space="preserve"> （1）具备扎实而深厚的专业理论基础和较强的评析能力；</w:t>
      </w:r>
      <w:r>
        <w:br/>
      </w:r>
      <w:r>
        <w:rPr>
          <w:rFonts w:ascii="SimSun" w:hAnsi="SimSun"/>
          <w:b w:val="false"/>
          <w:i w:val="false"/>
          <w:color w:val="000000"/>
          <w:sz w:val="21"/>
        </w:rPr>
        <w:t xml:space="preserve"> （2）对所在二级学科内的前沿理论问题有深入了解，对所在一级学科其他领域的理论问题有基本认识；</w:t>
      </w:r>
      <w:r>
        <w:br/>
      </w:r>
      <w:r>
        <w:rPr>
          <w:rFonts w:ascii="SimSun" w:hAnsi="SimSun"/>
          <w:b w:val="false"/>
          <w:i w:val="false"/>
          <w:color w:val="000000"/>
          <w:sz w:val="21"/>
        </w:rPr>
        <w:t xml:space="preserve"> （3）能作为本学科领域的学术研究骨干，独立开展专题研究并带动其他人参与学术项目；</w:t>
      </w:r>
      <w:r>
        <w:br/>
      </w:r>
      <w:r>
        <w:rPr>
          <w:rFonts w:ascii="SimSun" w:hAnsi="SimSun"/>
          <w:b w:val="false"/>
          <w:i w:val="false"/>
          <w:color w:val="000000"/>
          <w:sz w:val="21"/>
        </w:rPr>
        <w:t xml:space="preserve"> （4）能熟练运用第一外语进行原著阅读与专业论文写作；</w:t>
      </w:r>
      <w:r>
        <w:br/>
      </w:r>
      <w:r>
        <w:rPr>
          <w:rFonts w:ascii="SimSun" w:hAnsi="SimSun"/>
          <w:b w:val="false"/>
          <w:i w:val="false"/>
          <w:color w:val="000000"/>
          <w:sz w:val="21"/>
        </w:rPr>
        <w:t xml:space="preserve"> （5）精通现代科研信息技术与工具应用；</w:t>
      </w:r>
      <w:r>
        <w:br/>
      </w:r>
      <w:r>
        <w:rPr>
          <w:rFonts w:ascii="SimSun" w:hAnsi="SimSun"/>
          <w:b w:val="false"/>
          <w:i w:val="false"/>
          <w:color w:val="000000"/>
          <w:sz w:val="21"/>
        </w:rPr>
        <w:t xml:space="preserve"> （6）博士学位论文答辩后经修改能达到正式出版水平；</w:t>
      </w:r>
      <w:r>
        <w:br/>
      </w:r>
      <w:r>
        <w:rPr>
          <w:rFonts w:ascii="SimSun" w:hAnsi="SimSun"/>
          <w:b w:val="false"/>
          <w:i w:val="false"/>
          <w:color w:val="000000"/>
          <w:sz w:val="21"/>
        </w:rPr>
        <w:t xml:space="preserve"> （7）能够在本专业范围内独立开设两门以上基础课及一门以上新开设课程。</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164</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通识教育课程24学分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专业培养课程71学分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专业进阶模块55学分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4</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164学分（含实践学分不低于25学分；含美育学分不少于2学分，其中至少在“美学和艺术史论类”或“艺术鉴赏和评论类”课程中修读1学分，并至少参与一项艺术实践活动；劳动教育不少于32学时，并满足劳动周教育要求），包括通识教育课程24学分、全球领导力课程71学分、本研融通衔接课程25学分、硕博高阶课程模块30学分，满足融合创新能力模块要求的修读。</w:t>
      </w:r>
      <w:r>
        <w:br/>
      </w:r>
      <w:r>
        <w:rPr>
          <w:rFonts w:ascii="SimSun" w:hAnsi="SimSun"/>
          <w:b w:val="false"/>
          <w:i w:val="false"/>
          <w:color w:val="000000"/>
          <w:sz w:val="21"/>
        </w:rPr>
        <w:t>其中，本科学段需要完成130学分，包括通识教育课程24学分、全球领导力课程71学分，同时满足融合创新能力模块要求的修读。</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（一）本科学位 </w:t>
      </w:r>
      <w:r>
        <w:br/>
      </w:r>
      <w:r>
        <w:rPr>
          <w:rFonts w:ascii="SimSun" w:hAnsi="SimSun"/>
          <w:b w:val="false"/>
          <w:i w:val="false"/>
          <w:color w:val="000000"/>
          <w:sz w:val="21"/>
        </w:rPr>
        <w:t xml:space="preserve">四年级结束时，如达到学位要求者授予管理学学士学位。 </w:t>
      </w:r>
      <w:r>
        <w:br/>
      </w:r>
      <w:r>
        <w:rPr>
          <w:rFonts w:ascii="SimSun" w:hAnsi="SimSun"/>
          <w:b w:val="false"/>
          <w:i w:val="false"/>
          <w:color w:val="000000"/>
          <w:sz w:val="21"/>
        </w:rPr>
        <w:t xml:space="preserve">（二）研究生学位 </w:t>
      </w:r>
      <w:r>
        <w:br/>
      </w:r>
      <w:r>
        <w:rPr>
          <w:rFonts w:ascii="SimSun" w:hAnsi="SimSun"/>
          <w:b w:val="false"/>
          <w:i w:val="false"/>
          <w:color w:val="000000"/>
          <w:sz w:val="21"/>
        </w:rPr>
        <w:t xml:space="preserve">1、达到博士学位要求者授予管理学博士学位。 </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2、研究生学段主动退出和博士生资格考核不合格退出本博融通计划的学生，需按照公共管理本硕融通培养方案修读课程，如达到硕士学位要求者授予管理学硕士学位。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 xml:space="preserve">以3门高难度、大学分的荣誉课程为基础建立了本研融通的专业核心课程体系，以学科领域为横、课程内容梯度为纵建立了难度逐级提升的本研融通的专业进阶课程体系。                              </w:t>
      </w:r>
      <w:r>
        <w:br/>
      </w:r>
      <w:r>
        <w:rPr>
          <w:rFonts w:ascii="SimSun" w:hAnsi="SimSun"/>
          <w:b w:val="false"/>
          <w:i w:val="false"/>
          <w:color w:val="000000"/>
          <w:sz w:val="21"/>
        </w:rPr>
        <w:t xml:space="preserve">2.科研训练体系                                        </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r>
        <w:br/>
      </w:r>
      <w:r>
        <w:rPr>
          <w:rFonts w:ascii="SimSun" w:hAnsi="SimSun"/>
          <w:b w:val="false"/>
          <w:i w:val="false"/>
          <w:color w:val="000000"/>
          <w:sz w:val="21"/>
        </w:rPr>
        <w:t>·本科阶段培养设计</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·博士研究生阶段培养设计</w:t>
      </w:r>
      <w:r>
        <w:br/>
      </w:r>
      <w:r>
        <w:rPr>
          <w:rFonts w:ascii="SimSun" w:hAnsi="SimSun"/>
          <w:b w:val="false"/>
          <w:i w:val="false"/>
          <w:color w:val="000000"/>
          <w:sz w:val="21"/>
        </w:rPr>
        <w:t>博士研究生阶段将参与学院重大科研项目作为本博融通轨道学生必修项目。学院重大科研项目具体认定标准由学院另行规定。</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每学期选修学分不得超过32学分。</w:t>
      </w:r>
    </w:p>
    <w:p>
      <w:pPr>
        <w:spacing w:after="0"/>
        <w:ind w:left="0"/>
        <w:jc w:val="left"/>
      </w:pPr>
      <w:r>
        <w:rPr>
          <w:rFonts w:ascii="SimSun" w:hAnsi="SimSun"/>
          <w:b/>
          <w:i w:val="false"/>
          <w:color w:val="000000"/>
          <w:sz w:val="21"/>
        </w:rPr>
        <w:t xml:space="preserve">
       (一) 通识教育课程（24学分,本科要求24.0学分）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i w:val="false"/>
          <w:color w:val="000000"/>
          <w:sz w:val="21"/>
        </w:rPr>
        <w:t xml:space="preserve">
       (二) 专业培养课程（71学分,本科要求71.0学分）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包括本博学术创新衔接课程包，博士学术创新高阶课程模块，按路径要求修读课程。	
      </w:t>
      </w:r>
    </w:p>
    <w:p>
      <w:pPr>
        <w:spacing w:after="0"/>
        <w:ind w:left="0"/>
        <w:jc w:val="left"/>
      </w:pPr>
      <w:r>
        <w:rPr>
          <w:rFonts w:ascii="SimSun" w:hAnsi="SimSun"/>
          <w:b/>
          <w:i w:val="false"/>
          <w:color w:val="000000"/>
          <w:sz w:val="21"/>
        </w:rPr>
        <w:t xml:space="preserve">
       1.  专业进阶路径（55学分）
      </w:t>
      </w:r>
    </w:p>
    <w:p>
      <w:pPr>
        <w:spacing w:after="0"/>
        <w:ind w:left="0"/>
        <w:jc w:val="left"/>
      </w:pPr>
      <w:r>
        <w:rPr>
          <w:rFonts w:ascii="SimSun" w:hAnsi="SimSun"/>
          <w:b w:val="false"/>
          <w:i w:val="false"/>
          <w:color w:val="000000"/>
          <w:sz w:val="21"/>
        </w:rPr>
        <w:t xml:space="preserve">
       国务学院本博融通课程（55学分）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I.本博学术创新衔接课程包（25学分）。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184"/>
        <w:gridCol w:w="795"/>
        <w:gridCol w:w="795"/>
        <w:gridCol w:w="1114"/>
        <w:gridCol w:w="1845"/>
        <w:gridCol w:w="796"/>
        <w:gridCol w:w="796"/>
        <w:gridCol w:w="796"/>
        <w:gridCol w:w="805"/>
        <w:gridCol w:w="1115"/>
        <w:gridCol w:w="1593"/>
      </w:tblGrid>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比较公共行政专题研究</w:t>
            </w:r>
            <w:r>
              <w:br/>
            </w:r>
            <w:r>
              <w:rPr>
                <w:rFonts w:ascii="SimSun" w:hAnsi="SimSun"/>
                <w:b w:val="false"/>
                <w:i w:val="false"/>
                <w:color w:val="000000"/>
                <w:sz w:val="21"/>
              </w:rPr>
              <w:t>Comparative Public Administration Special Topics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MPA60001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公共管理前沿理论</w:t>
            </w:r>
            <w:r>
              <w:br/>
            </w:r>
            <w:r>
              <w:rPr>
                <w:rFonts w:ascii="SimSun" w:hAnsi="SimSun"/>
                <w:b w:val="false"/>
                <w:i w:val="false"/>
                <w:color w:val="000000"/>
                <w:sz w:val="21"/>
              </w:rPr>
              <w:t>Frontier Theories of Public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当代中国行政专题研究</w:t>
            </w:r>
            <w:r>
              <w:br/>
            </w:r>
            <w:r>
              <w:rPr>
                <w:rFonts w:ascii="SimSun" w:hAnsi="SimSun"/>
                <w:b w:val="false"/>
                <w:i w:val="false"/>
                <w:color w:val="000000"/>
                <w:sz w:val="21"/>
              </w:rPr>
              <w:t>Advanced Studies on the Contemporary Chinese Public Administration Systems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政府运行保障管理专题研究</w:t>
            </w:r>
            <w:r>
              <w:br/>
            </w:r>
            <w:r>
              <w:rPr>
                <w:rFonts w:ascii="SimSun" w:hAnsi="SimSun"/>
                <w:b w:val="false"/>
                <w:i w:val="false"/>
                <w:color w:val="000000"/>
                <w:sz w:val="21"/>
              </w:rPr>
              <w:t>Advanced Studies on Government Operations and Supply Chain Management</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应急管理专题研究</w:t>
            </w:r>
            <w:r>
              <w:br/>
            </w:r>
            <w:r>
              <w:rPr>
                <w:rFonts w:ascii="SimSun" w:hAnsi="SimSun"/>
                <w:b w:val="false"/>
                <w:i w:val="false"/>
                <w:color w:val="000000"/>
                <w:sz w:val="21"/>
              </w:rPr>
              <w:t>Advanced Studies on Emergency Management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数字公共治理专题研究</w:t>
            </w:r>
            <w:r>
              <w:br/>
            </w:r>
            <w:r>
              <w:rPr>
                <w:rFonts w:ascii="SimSun" w:hAnsi="SimSun"/>
                <w:b w:val="false"/>
                <w:i w:val="false"/>
                <w:color w:val="000000"/>
                <w:sz w:val="21"/>
              </w:rPr>
              <w:t>Advanced Studies on Digital Public Governance Research</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城市治理研究专题</w:t>
            </w:r>
            <w:r>
              <w:br/>
            </w:r>
            <w:r>
              <w:rPr>
                <w:rFonts w:ascii="SimSun" w:hAnsi="SimSun"/>
                <w:b w:val="false"/>
                <w:i w:val="false"/>
                <w:color w:val="000000"/>
                <w:sz w:val="21"/>
              </w:rPr>
              <w:t>Urban governance analysis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公共经济学专题研究</w:t>
            </w:r>
            <w:r>
              <w:br/>
            </w:r>
            <w:r>
              <w:rPr>
                <w:rFonts w:ascii="SimSun" w:hAnsi="SimSun"/>
                <w:b w:val="false"/>
                <w:i w:val="false"/>
                <w:color w:val="000000"/>
                <w:sz w:val="21"/>
              </w:rPr>
              <w:t>Advanced Studies on Public Economics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科技政策专题研究</w:t>
            </w:r>
            <w:r>
              <w:br/>
            </w:r>
            <w:r>
              <w:rPr>
                <w:rFonts w:ascii="SimSun" w:hAnsi="SimSun"/>
                <w:b w:val="false"/>
                <w:i w:val="false"/>
                <w:color w:val="000000"/>
                <w:sz w:val="21"/>
              </w:rPr>
              <w:t>Advanced Studies on Science and Innovation Policy</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公共管理伦理专题研究</w:t>
            </w:r>
            <w:r>
              <w:br/>
            </w:r>
            <w:r>
              <w:rPr>
                <w:rFonts w:ascii="SimSun" w:hAnsi="SimSun"/>
                <w:b w:val="false"/>
                <w:i w:val="false"/>
                <w:color w:val="000000"/>
                <w:sz w:val="21"/>
              </w:rPr>
              <w:t>Monographic Study on Public Management Ethics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MANA80002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本博导师组式学术创新训练体系旨在整合优质学术资源，推动学生课堂外学术参与、学术训练制度化、规范化，促进本博融通轨道学生熟悉研究规范，培养研究兴趣，提升科研能力，构建全链条长周期学术科研培养支持体系。
       </w:t>
      </w:r>
      <w:r>
        <w:br/>
      </w:r>
      <w:r>
        <w:rPr>
          <w:rFonts w:ascii="SimSun" w:hAnsi="SimSun"/>
          <w:b w:val="false"/>
          <w:i w:val="false"/>
          <w:color w:val="000000"/>
          <w:sz w:val="21"/>
        </w:rPr>
        <w:t xml:space="preserve">1.本科阶段培养设计
       </w:t>
      </w:r>
      <w:r>
        <w:br/>
      </w:r>
      <w:r>
        <w:rPr>
          <w:rFonts w:ascii="SimSun" w:hAnsi="SimSun"/>
          <w:b w:val="false"/>
          <w:i w:val="false"/>
          <w:color w:val="000000"/>
          <w:sz w:val="21"/>
        </w:rPr>
        <w:t xml:space="preserve">本科阶段将FDUROP（复旦大学本科生学术研究资助计划）、国务学院“薪火计划”列为本博融通轨道学生必修项目。学生可择其一进行修读。
       </w:t>
      </w:r>
      <w:r>
        <w:br/>
      </w:r>
      <w:r>
        <w:rPr>
          <w:rFonts w:ascii="SimSun" w:hAnsi="SimSun"/>
          <w:b w:val="false"/>
          <w:i w:val="false"/>
          <w:color w:val="000000"/>
          <w:sz w:val="21"/>
        </w:rPr>
        <w:t xml:space="preserve">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
       </w:t>
      </w:r>
      <w:r>
        <w:br/>
      </w:r>
      <w:r>
        <w:rPr>
          <w:rFonts w:ascii="SimSun" w:hAnsi="SimSun"/>
          <w:b w:val="false"/>
          <w:i w:val="false"/>
          <w:color w:val="000000"/>
          <w:sz w:val="21"/>
        </w:rPr>
        <w:t xml:space="preserve">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
       </w:t>
      </w:r>
      <w:r>
        <w:br/>
      </w:r>
      <w:r>
        <w:rPr>
          <w:rFonts w:ascii="SimSun" w:hAnsi="SimSun"/>
          <w:b w:val="false"/>
          <w:i w:val="false"/>
          <w:color w:val="000000"/>
          <w:sz w:val="21"/>
        </w:rPr>
        <w:t xml:space="preserve">修读方式二：学生在本科阶段第三学年末或第四学年初规定时间前至少完成1项国务“薪火计划”教师课题（一年期以上）。完成认定以教师课题负责人出具的证明材料为准。
       </w:t>
      </w:r>
      <w:r>
        <w:br/>
      </w:r>
      <w:r>
        <w:rPr>
          <w:rFonts w:ascii="SimSun" w:hAnsi="SimSun"/>
          <w:b w:val="false"/>
          <w:i w:val="false"/>
          <w:color w:val="000000"/>
          <w:sz w:val="21"/>
        </w:rPr>
        <w:t xml:space="preserve">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
       </w:t>
      </w:r>
      <w:r>
        <w:br/>
      </w:r>
      <w:r>
        <w:rPr>
          <w:rFonts w:ascii="SimSun" w:hAnsi="SimSun"/>
          <w:b w:val="false"/>
          <w:i w:val="false"/>
          <w:color w:val="000000"/>
          <w:sz w:val="21"/>
        </w:rPr>
        <w:t xml:space="preserve">2.博士研究生阶段培养设计
       </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	 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博士生在校期间至少听取10次学术报告，并在院系或校级甚至全国性的学术研讨会、学术沙龙或其他公开学术讨论场合作4次学术报告。并作好记录和小结，送交指导老师考核和评分。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参照学校要求，博士生在校期间应参加两个星期以上的教学实践或者公共管理实践。并作好记录和小结，送交指导老师考核和评分。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