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2026行政管理专业-本科培养方案（留学生适用）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复旦大学行政管理专业，是国内最早设立行政管理本科专业、国家级一流本科专业、首批设立公共管理一级学科博士点及博士后流动站设站的单位之一，也是全国首批公共管理专业学位硕士（MPA）培养机构，形成了完善的本-硕-博一体化人才培养体系。</w:t>
      </w:r>
      <w:r>
        <w:br/>
      </w:r>
      <w:r>
        <w:rPr>
          <w:rFonts w:ascii="SimSun" w:hAnsi="SimSun"/>
          <w:b w:val="false"/>
          <w:i w:val="false"/>
          <w:color w:val="000000"/>
          <w:sz w:val="21"/>
        </w:rPr>
        <w:t>复旦大学公共行政系承担行政管理、公共政策、应急管理与政府运行保障管理等二级学科的建设与发展任务。</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秉持“宽口径、厚基础、重能力、求创新”的人才培养理念，本专业旨在培养具有政治学、公共行政学、公共政策、应急管理和人工智能等方面的基本理论和专门知识，能在党政机关、企事业单位、国际组织与社会团体等机构，从事政策分析及公共事务管理等工作的专门人才。</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要求学生掌握马克思主义基本原理、公共行政学、管理学、经济学、政治学、国际政治学、法学和社会学的基本理论知识；掌握辩证唯物主义和历史唯物主义的基本观点和分析方法；了解有关国家治理、政府治理、社会治理与公共服务以及党政管理法律、制度、方针、政策；熟练掌握一门外语；了解公共行政学、公共政策、应急管理、社会保障、数字治理、全球治理等公共管理学科多个二级学科的发展动态；掌握文献检索、资料查询与调查研究的基本方法和手段，具有较强的科学研究能力和组织领导能力。</w:t>
      </w:r>
    </w:p>
    <w:p>
      <w:pPr>
        <w:spacing w:after="0"/>
        <w:ind w:left="0"/>
        <w:jc w:val="left"/>
      </w:pPr>
      <w:r>
        <w:drawing>
          <wp:inline distT="0" distB="0" distL="0" distR="0">
            <wp:extent cx="5732145" cy="206284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062846"/>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需要完成130学分（含实践学分不低于19.5学分；含美育学分不少于2学分，其中至少在“美学和艺术史论类”或“艺术鉴赏和评论类”课程中修读1学分，并至少参与一项艺术实践活动；劳动教育不少于32学时，并满足劳动周教育要求），包括通识教育课程24学分、全球领导力课程模块71学分、本科多元发展模块25学分，满足融合创新能力10学分等要求。</w:t>
      </w:r>
    </w:p>
    <w:p>
      <w:pPr>
        <w:spacing w:after="0"/>
        <w:ind w:left="0"/>
        <w:jc w:val="left"/>
      </w:pPr>
      <w:r>
        <w:drawing>
          <wp:inline distT="0" distB="0" distL="0" distR="0">
            <wp:extent cx="5732145" cy="1985916"/>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85916"/>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四年级结束时，如达到学士学位要求者授予管理学学士学位。  </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67933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679333"/>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以3门高难度、大学分的荣誉课程为基础建立本研融通的专业核心课程体系，以学科领域为横、课程内容梯度为纵建立了难度逐级提升的本研融通的专业2.训练体系</w:t>
      </w:r>
      <w:r>
        <w:br/>
      </w:r>
      <w:r>
        <w:rPr>
          <w:rFonts w:ascii="SimSun" w:hAnsi="SimSun"/>
          <w:b w:val="false"/>
          <w:i w:val="false"/>
          <w:color w:val="000000"/>
          <w:sz w:val="21"/>
        </w:rPr>
        <w:t>春风化雨训练体系依托学院“春风化雨导师计划”面向本科轨道学生开展自选学术训练或实务训练，具体修读方式可对应参照本博融通、本硕融通轨道本科阶段项目调整后执行。</w:t>
      </w:r>
      <w:r>
        <w:br/>
      </w:r>
      <w:r>
        <w:rPr>
          <w:rFonts w:ascii="SimSun" w:hAnsi="SimSun"/>
          <w:b w:val="false"/>
          <w:i w:val="false"/>
          <w:color w:val="000000"/>
          <w:sz w:val="21"/>
        </w:rPr>
        <w:t xml:space="preserve">本科毕业时，本科轨道学生可将学术或实务训练项目成果直接作为毕业论文申请送审，也可以单独撰写毕业论文。 </w:t>
      </w: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通识教育课程（24学分）
      </w:t>
      </w:r>
    </w:p>
    <w:p>
      <w:pPr>
        <w:spacing w:after="0"/>
        <w:ind w:left="0"/>
        <w:jc w:val="left"/>
      </w:pPr>
      <w:r>
        <w:rPr>
          <w:rFonts w:ascii="SimSun" w:hAnsi="SimSun"/>
          <w:b/>
          <w:i w:val="false"/>
          <w:color w:val="000000"/>
          <w:sz w:val="21"/>
        </w:rPr>
        <w:t xml:space="preserve">
       1.  通识教育核心课程（6学分）
      </w:t>
      </w:r>
    </w:p>
    <w:p>
      <w:pPr>
        <w:spacing w:after="0"/>
        <w:ind w:left="0"/>
        <w:jc w:val="left"/>
      </w:pPr>
      <w:r>
        <w:rPr>
          <w:rFonts w:ascii="SimSun" w:hAnsi="SimSun"/>
          <w:b w:val="false"/>
          <w:i w:val="false"/>
          <w:color w:val="000000"/>
          <w:sz w:val="21"/>
        </w:rPr>
        <w:t xml:space="preserve">
       国务学院学生回避社会研究与当代中国模块课程
      </w:t>
      </w:r>
    </w:p>
    <w:p>
      <w:pPr>
        <w:spacing w:after="0"/>
        <w:ind w:left="0"/>
        <w:jc w:val="left"/>
      </w:pPr>
      <w:r>
        <w:rPr>
          <w:rFonts w:ascii="SimSun" w:hAnsi="SimSun"/>
          <w:b/>
          <w:i w:val="false"/>
          <w:color w:val="000000"/>
          <w:sz w:val="21"/>
        </w:rPr>
        <w:t xml:space="preserve">
       2.  通识教育专项教育课程（18学分）
      </w:t>
      </w:r>
    </w:p>
    <w:p>
      <w:pPr>
        <w:spacing w:after="0"/>
        <w:ind w:left="0"/>
        <w:jc w:val="left"/>
      </w:pPr>
      <w:r>
        <w:rPr>
          <w:rFonts w:ascii="SimSun" w:hAnsi="SimSun"/>
          <w:b/>
          <w:i w:val="false"/>
          <w:color w:val="000000"/>
          <w:sz w:val="21"/>
        </w:rPr>
        <w:t xml:space="preserve">
       (二) 专业培养课程（71学分）
      </w:t>
      </w:r>
    </w:p>
    <w:p>
      <w:pPr>
        <w:spacing w:after="0"/>
        <w:ind w:left="0"/>
        <w:jc w:val="left"/>
      </w:pPr>
      <w:r>
        <w:rPr>
          <w:rFonts w:ascii="SimSun" w:hAnsi="SimSun"/>
          <w:b/>
          <w:i w:val="false"/>
          <w:color w:val="000000"/>
          <w:sz w:val="21"/>
        </w:rPr>
        <w:t xml:space="preserve">
       1.  学科基础课程（33学分）
      </w:t>
      </w:r>
    </w:p>
    <w:tbl>
      <w:tblPr>
        <w:tblW w:w="0" w:type="auto"/>
        <w:tblCellSpacing w:w="0" w:type="auto"/>
        <w:tblBorders>
          <w:top w:val="none"/>
          <w:left w:val="none"/>
          <w:bottom w:val="none"/>
          <w:right w:val="none"/>
          <w:insideH w:val="none"/>
          <w:insideV w:val="none"/>
        </w:tblBorders>
      </w:tblPr>
      <w:tblGrid>
        <w:gridCol w:w="2032"/>
        <w:gridCol w:w="2711"/>
        <w:gridCol w:w="677"/>
        <w:gridCol w:w="679"/>
        <w:gridCol w:w="940"/>
        <w:gridCol w:w="1616"/>
        <w:gridCol w:w="677"/>
        <w:gridCol w:w="671"/>
        <w:gridCol w:w="671"/>
        <w:gridCol w:w="677"/>
        <w:gridCol w:w="941"/>
        <w:gridCol w:w="1342"/>
      </w:tblGrid>
      <w:tr>
        <w:trPr>
          <w:trHeight w:val="45" w:hRule="atLeast"/>
        </w:trPr>
        <w:tc>
          <w:tcPr>
            <w:tcW w:w="203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专业核心教育课程（38学分）
      </w:t>
      </w:r>
    </w:p>
    <w:tbl>
      <w:tblPr>
        <w:tblW w:w="0" w:type="auto"/>
        <w:tblCellSpacing w:w="0" w:type="auto"/>
        <w:tblBorders>
          <w:top w:val="none"/>
          <w:left w:val="none"/>
          <w:bottom w:val="none"/>
          <w:right w:val="none"/>
          <w:insideH w:val="none"/>
          <w:insideV w:val="none"/>
        </w:tblBorders>
      </w:tblPr>
      <w:tblGrid>
        <w:gridCol w:w="2024"/>
        <w:gridCol w:w="2712"/>
        <w:gridCol w:w="676"/>
        <w:gridCol w:w="679"/>
        <w:gridCol w:w="938"/>
        <w:gridCol w:w="1616"/>
        <w:gridCol w:w="677"/>
        <w:gridCol w:w="677"/>
        <w:gridCol w:w="677"/>
        <w:gridCol w:w="677"/>
        <w:gridCol w:w="940"/>
        <w:gridCol w:w="1341"/>
      </w:tblGrid>
      <w:tr>
        <w:trPr>
          <w:trHeight w:val="45" w:hRule="atLeast"/>
        </w:trPr>
        <w:tc>
          <w:tcPr>
            <w:tcW w:w="202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24"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管理学原理</w:t>
            </w:r>
            <w:r>
              <w:br/>
            </w:r>
            <w:r>
              <w:rPr>
                <w:rFonts w:ascii="SimSun" w:hAnsi="SimSun"/>
                <w:b w:val="false"/>
                <w:i w:val="false"/>
                <w:color w:val="000000"/>
                <w:sz w:val="21"/>
              </w:rPr>
              <w:t>Principles of Management</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政府经济学</w:t>
            </w:r>
            <w:r>
              <w:br/>
            </w:r>
            <w:r>
              <w:rPr>
                <w:rFonts w:ascii="SimSun" w:hAnsi="SimSun"/>
                <w:b w:val="false"/>
                <w:i w:val="false"/>
                <w:color w:val="000000"/>
                <w:sz w:val="21"/>
              </w:rPr>
              <w:t>Government 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POLI30025</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公共行政学说史</w:t>
            </w:r>
            <w:r>
              <w:br/>
            </w:r>
            <w:r>
              <w:rPr>
                <w:rFonts w:ascii="SimSun" w:hAnsi="SimSun"/>
                <w:b w:val="false"/>
                <w:i w:val="false"/>
                <w:color w:val="000000"/>
                <w:sz w:val="21"/>
              </w:rPr>
              <w:t>History of Public Administration Theory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MANA30010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数字治理</w:t>
            </w:r>
            <w:r>
              <w:br/>
            </w:r>
            <w:r>
              <w:rPr>
                <w:rFonts w:ascii="SimSun" w:hAnsi="SimSun"/>
                <w:b w:val="false"/>
                <w:i w:val="false"/>
                <w:color w:val="000000"/>
                <w:sz w:val="21"/>
              </w:rPr>
              <w:t>Digital Governance</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行政法</w:t>
            </w:r>
            <w:r>
              <w:br/>
            </w:r>
            <w:r>
              <w:rPr>
                <w:rFonts w:ascii="SimSun" w:hAnsi="SimSun"/>
                <w:b w:val="false"/>
                <w:i w:val="false"/>
                <w:color w:val="000000"/>
                <w:sz w:val="21"/>
              </w:rPr>
              <w:t>Administrative Law</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比较公共行政</w:t>
            </w:r>
            <w:r>
              <w:br/>
            </w:r>
            <w:r>
              <w:rPr>
                <w:rFonts w:ascii="SimSun" w:hAnsi="SimSun"/>
                <w:b w:val="false"/>
                <w:i w:val="false"/>
                <w:color w:val="000000"/>
                <w:sz w:val="21"/>
              </w:rPr>
              <w:t>Comparative Study of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MANA50002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公务员制度</w:t>
            </w:r>
            <w:r>
              <w:br/>
            </w:r>
            <w:r>
              <w:rPr>
                <w:rFonts w:ascii="SimSun" w:hAnsi="SimSun"/>
                <w:b w:val="false"/>
                <w:i w:val="false"/>
                <w:color w:val="000000"/>
                <w:sz w:val="21"/>
              </w:rPr>
              <w:t>Civil Servants Systems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人力资源开发与管理</w:t>
            </w:r>
            <w:r>
              <w:br/>
            </w:r>
            <w:r>
              <w:rPr>
                <w:rFonts w:ascii="SimSun" w:hAnsi="SimSun"/>
                <w:b w:val="false"/>
                <w:i w:val="false"/>
                <w:color w:val="000000"/>
                <w:sz w:val="21"/>
              </w:rPr>
              <w:t>Development and Management of Human Resources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组织行为学</w:t>
            </w:r>
            <w:r>
              <w:br/>
            </w:r>
            <w:r>
              <w:rPr>
                <w:rFonts w:ascii="SimSun" w:hAnsi="SimSun"/>
                <w:b w:val="false"/>
                <w:i w:val="false"/>
                <w:color w:val="000000"/>
                <w:sz w:val="21"/>
              </w:rPr>
              <w:t>Organizational Behavior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当代中国公共行政</w:t>
            </w:r>
            <w:r>
              <w:br/>
            </w:r>
            <w:r>
              <w:rPr>
                <w:rFonts w:ascii="SimSun" w:hAnsi="SimSun"/>
                <w:b w:val="false"/>
                <w:i w:val="false"/>
                <w:color w:val="000000"/>
                <w:sz w:val="21"/>
              </w:rPr>
              <w:t>Contemporary Chinese Public Administration</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POLI30047</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当代中国公共政策</w:t>
            </w:r>
            <w:r>
              <w:br/>
            </w:r>
            <w:r>
              <w:rPr>
                <w:rFonts w:ascii="SimSun" w:hAnsi="SimSun"/>
                <w:b w:val="false"/>
                <w:i w:val="false"/>
                <w:color w:val="000000"/>
                <w:sz w:val="21"/>
              </w:rPr>
              <w:t>Contemporary Chinese Public Policy</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公共管理伦理</w:t>
            </w:r>
            <w:r>
              <w:br/>
            </w:r>
            <w:r>
              <w:rPr>
                <w:rFonts w:ascii="SimSun" w:hAnsi="SimSun"/>
                <w:b w:val="false"/>
                <w:i w:val="false"/>
                <w:color w:val="000000"/>
                <w:sz w:val="21"/>
              </w:rPr>
              <w:t>Public Administration Ethics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POLI30058</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公共事业管理</w:t>
            </w:r>
            <w:r>
              <w:br/>
            </w:r>
            <w:r>
              <w:rPr>
                <w:rFonts w:ascii="SimSun" w:hAnsi="SimSun"/>
                <w:b w:val="false"/>
                <w:i w:val="false"/>
                <w:color w:val="000000"/>
                <w:sz w:val="21"/>
              </w:rPr>
              <w:t>Management in Public Sector</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POLI20031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统计学</w:t>
            </w:r>
            <w:r>
              <w:br/>
            </w:r>
            <w:r>
              <w:rPr>
                <w:rFonts w:ascii="SimSun" w:hAnsi="SimSun"/>
                <w:b w:val="false"/>
                <w:i w:val="false"/>
                <w:color w:val="000000"/>
                <w:sz w:val="21"/>
              </w:rPr>
              <w:t>Statistics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SOCI20003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宏观经济学</w:t>
            </w:r>
            <w:r>
              <w:br/>
            </w:r>
            <w:r>
              <w:rPr>
                <w:rFonts w:ascii="SimSun" w:hAnsi="SimSun"/>
                <w:b w:val="false"/>
                <w:i w:val="false"/>
                <w:color w:val="000000"/>
                <w:sz w:val="21"/>
              </w:rPr>
              <w:t>Macroeconomics</w:t>
            </w:r>
          </w:p>
        </w:tc>
        <w:tc>
          <w:tcPr>
            <w:tcW w:w="67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微观经济学</w:t>
            </w:r>
            <w:r>
              <w:br/>
            </w:r>
            <w:r>
              <w:rPr>
                <w:rFonts w:ascii="SimSun" w:hAnsi="SimSun"/>
                <w:b w:val="false"/>
                <w:i w:val="false"/>
                <w:color w:val="000000"/>
                <w:sz w:val="21"/>
              </w:rPr>
              <w:t>Microeconomics</w:t>
            </w:r>
          </w:p>
        </w:tc>
        <w:tc>
          <w:tcPr>
            <w:tcW w:w="67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ECON20003</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1"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多元发展包括专业进阶 、跨学科发展（含辅修学士学位项目）和创新创业等不同路径，要求在院系专业导师指导下选择一条发展路径，按路径要求修读课程。
      </w:t>
      </w:r>
    </w:p>
    <w:p>
      <w:pPr>
        <w:spacing w:after="0"/>
        <w:ind w:left="0"/>
        <w:jc w:val="left"/>
      </w:pPr>
      <w:r>
        <w:rPr>
          <w:rFonts w:ascii="SimSun" w:hAnsi="SimSun"/>
          <w:b/>
          <w:i w:val="false"/>
          <w:color w:val="000000"/>
          <w:sz w:val="21"/>
        </w:rPr>
        <w:t xml:space="preserve">
       1.  专业进阶路径（25学分）
      </w:t>
      </w:r>
    </w:p>
    <w:p>
      <w:pPr>
        <w:spacing w:after="0"/>
        <w:ind w:left="0"/>
        <w:jc w:val="left"/>
      </w:pPr>
      <w:r>
        <w:rPr>
          <w:rFonts w:ascii="SimSun" w:hAnsi="SimSun"/>
          <w:b w:val="false"/>
          <w:i w:val="false"/>
          <w:color w:val="000000"/>
          <w:sz w:val="21"/>
        </w:rPr>
        <w:t xml:space="preserve">
       要求在本专业专业进阶模块修读进阶I 25学分。
      </w:t>
      </w:r>
    </w:p>
    <w:p>
      <w:pPr>
        <w:spacing w:after="0"/>
        <w:ind w:left="0"/>
        <w:jc w:val="left"/>
      </w:pPr>
      <w:r>
        <w:rPr>
          <w:rFonts w:ascii="SimSun" w:hAnsi="SimSun"/>
          <w:b/>
          <w:i w:val="false"/>
          <w:color w:val="000000"/>
          <w:sz w:val="21"/>
        </w:rPr>
        <w:t xml:space="preserve">
       (1) 专业进阶I（25学分）
      </w:t>
      </w:r>
    </w:p>
    <w:p>
      <w:pPr>
        <w:spacing w:after="0"/>
        <w:ind w:left="0"/>
        <w:jc w:val="left"/>
      </w:pPr>
      <w:r>
        <w:rPr>
          <w:rFonts w:ascii="SimSun" w:hAnsi="SimSun"/>
          <w:b w:val="false"/>
          <w:i w:val="false"/>
          <w:color w:val="000000"/>
          <w:sz w:val="21"/>
        </w:rPr>
        <w:t xml:space="preserve">
       I.本科生在本模块需修读25学分。
      </w:t>
      </w:r>
    </w:p>
    <w:tbl>
      <w:tblPr>
        <w:tblW w:w="0" w:type="auto"/>
        <w:tblCellSpacing w:w="0" w:type="auto"/>
        <w:tblBorders>
          <w:top w:val="none"/>
          <w:left w:val="none"/>
          <w:bottom w:val="none"/>
          <w:right w:val="none"/>
          <w:insideH w:val="none"/>
          <w:insideV w:val="none"/>
        </w:tblBorders>
      </w:tblPr>
      <w:tblGrid>
        <w:gridCol w:w="3186"/>
        <w:gridCol w:w="796"/>
        <w:gridCol w:w="796"/>
        <w:gridCol w:w="1115"/>
        <w:gridCol w:w="1846"/>
        <w:gridCol w:w="796"/>
        <w:gridCol w:w="796"/>
        <w:gridCol w:w="796"/>
        <w:gridCol w:w="796"/>
        <w:gridCol w:w="1116"/>
        <w:gridCol w:w="1595"/>
      </w:tblGrid>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公共管理</w:t>
            </w:r>
            <w:r>
              <w:br/>
            </w:r>
            <w:r>
              <w:rPr>
                <w:rFonts w:ascii="SimSun" w:hAnsi="SimSun"/>
                <w:b w:val="false"/>
                <w:i w:val="false"/>
                <w:color w:val="000000"/>
                <w:sz w:val="21"/>
              </w:rPr>
              <w:t>Public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公共政策分析</w:t>
            </w:r>
            <w:r>
              <w:br/>
            </w:r>
            <w:r>
              <w:rPr>
                <w:rFonts w:ascii="SimSun" w:hAnsi="SimSun"/>
                <w:b w:val="false"/>
                <w:i w:val="false"/>
                <w:color w:val="000000"/>
                <w:sz w:val="21"/>
              </w:rPr>
              <w:t>Public Policy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政府财政与预算</w:t>
            </w:r>
            <w:r>
              <w:br/>
            </w:r>
            <w:r>
              <w:rPr>
                <w:rFonts w:ascii="SimSun" w:hAnsi="SimSun"/>
                <w:b w:val="false"/>
                <w:i w:val="false"/>
                <w:color w:val="000000"/>
                <w:sz w:val="21"/>
              </w:rPr>
              <w:t>Public Finance and Budgeting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全球公共政策</w:t>
            </w:r>
            <w:r>
              <w:br/>
            </w:r>
            <w:r>
              <w:rPr>
                <w:rFonts w:ascii="SimSun" w:hAnsi="SimSun"/>
                <w:b w:val="false"/>
                <w:i w:val="false"/>
                <w:color w:val="000000"/>
                <w:sz w:val="21"/>
              </w:rPr>
              <w:t>Global Public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应急管理</w:t>
            </w:r>
            <w:r>
              <w:br/>
            </w:r>
            <w:r>
              <w:rPr>
                <w:rFonts w:ascii="SimSun" w:hAnsi="SimSun"/>
                <w:b w:val="false"/>
                <w:i w:val="false"/>
                <w:color w:val="000000"/>
                <w:sz w:val="21"/>
              </w:rPr>
              <w:t>Emergency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政府运行保障管理</w:t>
            </w:r>
            <w:r>
              <w:br/>
            </w:r>
            <w:r>
              <w:rPr>
                <w:rFonts w:ascii="SimSun" w:hAnsi="SimSun"/>
                <w:b w:val="false"/>
                <w:i w:val="false"/>
                <w:color w:val="000000"/>
                <w:sz w:val="21"/>
              </w:rPr>
              <w:t>Government Operation and Supply Chain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公共科技政策</w:t>
            </w:r>
            <w:r>
              <w:br/>
            </w:r>
            <w:r>
              <w:rPr>
                <w:rFonts w:ascii="SimSun" w:hAnsi="SimSun"/>
                <w:b w:val="false"/>
                <w:i w:val="false"/>
                <w:color w:val="000000"/>
                <w:sz w:val="21"/>
              </w:rPr>
              <w:t>Public Policy for Science and Technology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POLI40031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社会组织管理</w:t>
            </w:r>
            <w:r>
              <w:br/>
            </w:r>
            <w:r>
              <w:rPr>
                <w:rFonts w:ascii="SimSun" w:hAnsi="SimSun"/>
                <w:b w:val="false"/>
                <w:i w:val="false"/>
                <w:color w:val="000000"/>
                <w:sz w:val="21"/>
              </w:rPr>
              <w:t>Social Organization Management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MANA40002</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公共卫生政策</w:t>
            </w:r>
            <w:r>
              <w:br/>
            </w:r>
            <w:r>
              <w:rPr>
                <w:rFonts w:ascii="SimSun" w:hAnsi="SimSun"/>
                <w:b w:val="false"/>
                <w:i w:val="false"/>
                <w:color w:val="000000"/>
                <w:sz w:val="21"/>
              </w:rPr>
              <w:t>Health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人口与社会保障经济学</w:t>
            </w:r>
            <w:r>
              <w:br/>
            </w:r>
            <w:r>
              <w:rPr>
                <w:rFonts w:ascii="SimSun" w:hAnsi="SimSun"/>
                <w:b w:val="false"/>
                <w:i w:val="false"/>
                <w:color w:val="000000"/>
                <w:sz w:val="21"/>
              </w:rPr>
              <w:t>Demography and Economics of Social Security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ECON30077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产业经济学概论</w:t>
            </w:r>
            <w:r>
              <w:br/>
            </w:r>
            <w:r>
              <w:rPr>
                <w:rFonts w:ascii="SimSun" w:hAnsi="SimSun"/>
                <w:b w:val="false"/>
                <w:i w:val="false"/>
                <w:color w:val="000000"/>
                <w:sz w:val="21"/>
              </w:rPr>
              <w:t>General Survey of Industrial Economics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GEEC10226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社会政策与社会治理</w:t>
            </w:r>
            <w:r>
              <w:br/>
            </w:r>
            <w:r>
              <w:rPr>
                <w:rFonts w:ascii="SimSun" w:hAnsi="SimSun"/>
                <w:b w:val="false"/>
                <w:i w:val="false"/>
                <w:color w:val="000000"/>
                <w:sz w:val="21"/>
              </w:rPr>
              <w:t>Social Policy and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公共数据利用与治理</w:t>
            </w:r>
            <w:r>
              <w:br/>
            </w:r>
            <w:r>
              <w:rPr>
                <w:rFonts w:ascii="SimSun" w:hAnsi="SimSun"/>
                <w:b w:val="false"/>
                <w:i w:val="false"/>
                <w:color w:val="000000"/>
                <w:sz w:val="21"/>
              </w:rPr>
              <w:t>Utilization and Governance of Public Data</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POLI40029</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城市治理</w:t>
            </w:r>
            <w:r>
              <w:br/>
            </w:r>
            <w:r>
              <w:rPr>
                <w:rFonts w:ascii="SimSun" w:hAnsi="SimSun"/>
                <w:b w:val="false"/>
                <w:i w:val="false"/>
                <w:color w:val="000000"/>
                <w:sz w:val="21"/>
              </w:rPr>
              <w:t>Urban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环境政策</w:t>
            </w:r>
            <w:r>
              <w:br/>
            </w:r>
            <w:r>
              <w:rPr>
                <w:rFonts w:ascii="SimSun" w:hAnsi="SimSun"/>
                <w:b w:val="false"/>
                <w:i w:val="false"/>
                <w:color w:val="000000"/>
                <w:sz w:val="21"/>
              </w:rPr>
              <w:t>Environmental Policy</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MANA30008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政策调研与写作</w:t>
            </w:r>
            <w:r>
              <w:br/>
            </w:r>
            <w:r>
              <w:rPr>
                <w:rFonts w:ascii="SimSun" w:hAnsi="SimSun"/>
                <w:b w:val="false"/>
                <w:i w:val="false"/>
                <w:color w:val="000000"/>
                <w:sz w:val="21"/>
              </w:rPr>
              <w:t>Practical Guide to Survey Research and Public Policy Papers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GEXZ10024</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政策推演与模拟</w:t>
            </w:r>
            <w:r>
              <w:br/>
            </w:r>
            <w:r>
              <w:rPr>
                <w:rFonts w:ascii="SimSun" w:hAnsi="SimSun"/>
                <w:b w:val="false"/>
                <w:i w:val="false"/>
                <w:color w:val="000000"/>
                <w:sz w:val="21"/>
              </w:rPr>
              <w:t>Policy Simulation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5,6</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行政与外交文书</w:t>
            </w:r>
            <w:r>
              <w:br/>
            </w:r>
            <w:r>
              <w:rPr>
                <w:rFonts w:ascii="SimSun" w:hAnsi="SimSun"/>
                <w:b w:val="false"/>
                <w:i w:val="false"/>
                <w:color w:val="000000"/>
                <w:sz w:val="21"/>
              </w:rPr>
              <w:t>Administrative and Diplomatic Document Writing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国际公共行政</w:t>
            </w:r>
            <w:r>
              <w:br/>
            </w:r>
            <w:r>
              <w:rPr>
                <w:rFonts w:ascii="SimSun" w:hAnsi="SimSun"/>
                <w:b w:val="false"/>
                <w:i w:val="false"/>
                <w:color w:val="000000"/>
                <w:sz w:val="21"/>
              </w:rPr>
              <w:t>International Public Administration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AI赋能的政务服务再造</w:t>
            </w:r>
            <w:r>
              <w:br/>
            </w:r>
            <w:r>
              <w:rPr>
                <w:rFonts w:ascii="SimSun" w:hAnsi="SimSun"/>
                <w:b w:val="false"/>
                <w:i w:val="false"/>
                <w:color w:val="000000"/>
                <w:sz w:val="21"/>
              </w:rPr>
              <w:t>AI-empowered Reengineering of Government Services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AIT531018</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城乡治理理论与实践</w:t>
            </w:r>
            <w:r>
              <w:br/>
            </w:r>
            <w:r>
              <w:rPr>
                <w:rFonts w:ascii="SimSun" w:hAnsi="SimSun"/>
                <w:b w:val="false"/>
                <w:i w:val="false"/>
                <w:color w:val="000000"/>
                <w:sz w:val="21"/>
              </w:rPr>
              <w:t>Theories and Practice of Rural-urban Governance</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MANA20001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发展经济学</w:t>
            </w:r>
            <w:r>
              <w:br/>
            </w:r>
            <w:r>
              <w:rPr>
                <w:rFonts w:ascii="SimSun" w:hAnsi="SimSun"/>
                <w:b w:val="false"/>
                <w:i w:val="false"/>
                <w:color w:val="000000"/>
                <w:sz w:val="21"/>
              </w:rPr>
              <w:t>Economics of Development</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ECON30026</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地理信息系统与空间分析</w:t>
            </w:r>
            <w:r>
              <w:br/>
            </w:r>
            <w:r>
              <w:rPr>
                <w:rFonts w:ascii="SimSun" w:hAnsi="SimSun"/>
                <w:b w:val="false"/>
                <w:i w:val="false"/>
                <w:color w:val="000000"/>
                <w:sz w:val="21"/>
              </w:rPr>
              <w:t>Geographic Information System and Spatial Analysis</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POLI30061</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港台政治与行政</w:t>
            </w:r>
            <w:r>
              <w:br/>
            </w:r>
            <w:r>
              <w:rPr>
                <w:rFonts w:ascii="SimSun" w:hAnsi="SimSun"/>
                <w:b w:val="false"/>
                <w:i w:val="false"/>
                <w:color w:val="000000"/>
                <w:sz w:val="21"/>
              </w:rPr>
              <w:t>Politics and Administration in Taiwan and Hong Kong</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POLI30033</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政府监管理论与实践</w:t>
            </w:r>
            <w:r>
              <w:br/>
            </w:r>
            <w:r>
              <w:rPr>
                <w:rFonts w:ascii="SimSun" w:hAnsi="SimSun"/>
                <w:b w:val="false"/>
                <w:i w:val="false"/>
                <w:color w:val="000000"/>
                <w:sz w:val="21"/>
              </w:rPr>
              <w:t>Theory and Practice of Government Regulation</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1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MANA70007</w:t>
            </w: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8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运筹学</w:t>
            </w:r>
            <w:r>
              <w:br/>
            </w:r>
            <w:r>
              <w:rPr>
                <w:rFonts w:ascii="SimSun" w:hAnsi="SimSun"/>
                <w:b w:val="false"/>
                <w:i w:val="false"/>
                <w:color w:val="000000"/>
                <w:sz w:val="21"/>
              </w:rPr>
              <w:t>Operations  Research</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84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CS30035</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专业进阶II（0学分）
      </w:t>
      </w:r>
    </w:p>
    <w:p>
      <w:pPr>
        <w:spacing w:after="0"/>
        <w:ind w:left="0"/>
        <w:jc w:val="left"/>
      </w:pPr>
      <w:r>
        <w:rPr>
          <w:rFonts w:ascii="SimSun" w:hAnsi="SimSun"/>
          <w:b w:val="false"/>
          <w:i w:val="false"/>
          <w:color w:val="000000"/>
          <w:sz w:val="21"/>
        </w:rPr>
        <w:t xml:space="preserve">
       II.本科生在本模块需修读0学分。
      </w:t>
      </w:r>
    </w:p>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跨学科发展路径（25学分）
      </w:t>
      </w:r>
    </w:p>
    <w:p>
      <w:pPr>
        <w:spacing w:after="0"/>
        <w:ind w:left="0"/>
        <w:jc w:val="left"/>
      </w:pPr>
      <w:r>
        <w:rPr>
          <w:rFonts w:ascii="SimSun" w:hAnsi="SimSun"/>
          <w:b w:val="false"/>
          <w:i w:val="false"/>
          <w:color w:val="000000"/>
          <w:sz w:val="21"/>
        </w:rPr>
        <w:t xml:space="preserve">
       修满25学分。要求修读2个非本专业独立开设的微专业（学程），可选择专业学程或跨学科微专业（学程）。学分不足部分可在全校所有本科生课程中任意选修。
       </w:t>
      </w:r>
      <w:r>
        <w:br/>
      </w:r>
      <w:r>
        <w:rPr>
          <w:rFonts w:ascii="SimSun" w:hAnsi="SimSun"/>
          <w:b w:val="false"/>
          <w:i w:val="false"/>
          <w:color w:val="000000"/>
          <w:sz w:val="21"/>
        </w:rPr>
        <w:t xml:space="preserve">学程课程详见教务处学程项目网页，下载地址：https://jwc.fudan.edu.cn/（复旦大学教务处）专业培养-常用文档。完成学程修读要求的学生可获得相应的学程证书。
      </w:t>
      </w:r>
    </w:p>
    <w:p>
      <w:pPr>
        <w:spacing w:after="0"/>
        <w:ind w:left="0"/>
        <w:jc w:val="left"/>
      </w:pPr>
      <w:r>
        <w:rPr>
          <w:rFonts w:ascii="SimSun" w:hAnsi="SimSun"/>
          <w:b/>
          <w:i w:val="false"/>
          <w:color w:val="000000"/>
          <w:sz w:val="21"/>
        </w:rPr>
        <w:t xml:space="preserve">
       4.  创新创业路径（25学分）
      </w:t>
      </w:r>
    </w:p>
    <w:p>
      <w:pPr>
        <w:spacing w:after="0"/>
        <w:ind w:left="0"/>
        <w:jc w:val="left"/>
      </w:pPr>
      <w:r>
        <w:rPr>
          <w:rFonts w:ascii="SimSun" w:hAnsi="SimSun"/>
          <w:b w:val="false"/>
          <w:i w:val="false"/>
          <w:color w:val="000000"/>
          <w:sz w:val="21"/>
        </w:rPr>
        <w:t xml:space="preserve">
       修满25学分。要求修读1个创新创业学院开设的创新创业微专业（学程），以及1个非本专业独立开设的专业微专业（学程）或跨学科微专业（学程）学程。学分不足部分可在全校所有本科生课程中任意选修。创新创业学程课程详见教务处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辅修学士学位路径（65学分）
      </w:t>
      </w:r>
    </w:p>
    <w:p>
      <w:pPr>
        <w:spacing w:after="0"/>
        <w:ind w:left="0"/>
        <w:jc w:val="left"/>
      </w:pPr>
      <w:r>
        <w:rPr>
          <w:rFonts w:ascii="SimSun" w:hAnsi="SimSun"/>
          <w:b w:val="false"/>
          <w:i w:val="false"/>
          <w:color w:val="000000"/>
          <w:sz w:val="21"/>
        </w:rPr>
        <w:t xml:space="preserve">
       要求至少修读1个本专业进阶课程模块和1个外院系开设的辅修学士学位项目，辅修学士学位应与主修学士学位归属不同的本科专业大类。
       </w:t>
      </w:r>
      <w:r>
        <w:br/>
      </w:r>
      <w:r>
        <w:rPr>
          <w:rFonts w:ascii="SimSun" w:hAnsi="SimSun"/>
          <w:b w:val="false"/>
          <w:i w:val="false"/>
          <w:color w:val="000000"/>
          <w:sz w:val="21"/>
        </w:rPr>
        <w:t xml:space="preserve">辅修学士学位项目课程设置详见教务处辅修学士学位项目网页，下载地址：https://jwc.fudan.edu.cn/（复旦大学教务处）专业培养-常用文档。完成辅修学士学位项目修读要求，且达到学校毕业和学位授予要求的学生可获得相应的辅修学士学位证书。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多元发展路径中，专业进阶课程模块或辅修学士学位项目均可以冲抵学程，专业培养和多元发展路径共享的课程只计算一次学分。
      </w:t>
      </w:r>
    </w:p>
    <w:p>
      <w:pPr>
        <w:spacing w:after="0"/>
        <w:ind w:left="0"/>
        <w:jc w:val="left"/>
      </w:pPr>
      <w:r>
        <w:rPr>
          <w:rFonts w:ascii="SimSun" w:hAnsi="SimSun"/>
          <w:b/>
          <w:i w:val="false"/>
          <w:color w:val="000000"/>
          <w:sz w:val="21"/>
        </w:rPr>
        <w:t xml:space="preserve">
       (四) 融合创新能力（10学分）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科研实践Ⅰ</w:t>
            </w:r>
            <w:r>
              <w:br/>
            </w:r>
            <w:r>
              <w:rPr>
                <w:rFonts w:ascii="SimSun" w:hAnsi="SimSun"/>
                <w:b w:val="false"/>
                <w:i w:val="false"/>
                <w:color w:val="000000"/>
                <w:sz w:val="21"/>
              </w:rPr>
              <w:t>Research PracticeⅠ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POLI30065</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科研实践Ⅱ</w:t>
            </w:r>
            <w:r>
              <w:br/>
            </w:r>
            <w:r>
              <w:rPr>
                <w:rFonts w:ascii="SimSun" w:hAnsi="SimSun"/>
                <w:b w:val="false"/>
                <w:i w:val="false"/>
                <w:color w:val="000000"/>
                <w:sz w:val="21"/>
              </w:rPr>
              <w:t>Research Practice Ⅱ</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POLI30066</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