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2026行政管理（公共政策）-人工智能双学士学位复合型人才培养项目本硕融通培养方案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复旦大学公共管理学为行政管理专业，是国内最早设立行政管理本科专业、国家级一流本科专业，首批设立公共管理一级学科博士点及博士后流动站设站的单位之一，也是全国首批公共管理专业学位硕士（MPA）培养机构，形成了完善的本-硕-博一体化人才培养体系。</w:t>
      </w:r>
      <w:r>
        <w:br/>
      </w:r>
      <w:r>
        <w:rPr>
          <w:rFonts w:ascii="SimSun" w:hAnsi="SimSun"/>
          <w:b w:val="false"/>
          <w:i w:val="false"/>
          <w:color w:val="000000"/>
          <w:sz w:val="21"/>
        </w:rPr>
        <w:t>复旦大学公共行政系承担行政管理、公共政策、应急管理与政府运行保障管理等二级学科的建设与发展任务。</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项目对接国家和上海市政府提出的人工智能（AI）专业人才培养的建设需求，秉持“宽口径、厚基础、重能力、求创新”的人才培养理念，构建了“2+X+Y”培养模式（2是通识和专业教育，X是多元发展路径，Y为融合创新能力），致力于培养德智体美劳全面发展，拥有扎实的公共政策与行政管理理论基础以及人工智能基础知识与关键技能的复合型创新人才，能够结合公共管理、政治学、人工智能、计算机科学等跨学科背景，在党政机关、企事业单位、社会团体从事管理工作以及人工智能相关研究与开发工作。</w:t>
      </w:r>
      <w:r>
        <w:br/>
      </w:r>
      <w:r>
        <w:br/>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要求学生系统掌握马克思主义基本原理，熟练掌握公共政策学、行政管理学、政治学、人工智能科学、计算机科学的基本理论知识；具备辩证唯物主义和历史唯物主义的基本观点和分析方法；深入了解社会治理与公共服务以及党政管理相关的法律、制度、方针、政策；熟练掌握一门外语；了解公共政策、行政管理、人工智能的理论前沿以及政治学、管理学、法学、经济学、计算机科学等相关学科的发展动态；掌握应用人工智能大模型工具以及多学科文献检索、资料查询的基本方法，具有公共政策与人工智能相关领域的科学研究能力。</w:t>
      </w:r>
      <w:r>
        <w:br/>
      </w:r>
      <w:r>
        <w:rPr>
          <w:rFonts w:ascii="SimSun" w:hAnsi="SimSun"/>
          <w:b w:val="false"/>
          <w:i w:val="false"/>
          <w:color w:val="000000"/>
          <w:sz w:val="21"/>
        </w:rPr>
        <w:t>科学研究能力与水平的基本要求：</w:t>
      </w:r>
      <w:r>
        <w:br/>
      </w:r>
      <w:r>
        <w:rPr>
          <w:rFonts w:ascii="SimSun" w:hAnsi="SimSun"/>
          <w:b w:val="false"/>
          <w:i w:val="false"/>
          <w:color w:val="000000"/>
          <w:sz w:val="21"/>
        </w:rPr>
        <w:t>（1）具备扎实而深厚的专业理论基础和较强的评析能力；</w:t>
      </w:r>
      <w:r>
        <w:br/>
      </w:r>
      <w:r>
        <w:rPr>
          <w:rFonts w:ascii="SimSun" w:hAnsi="SimSun"/>
          <w:b w:val="false"/>
          <w:i w:val="false"/>
          <w:color w:val="000000"/>
          <w:sz w:val="21"/>
        </w:rPr>
        <w:t>（2）对所在二级学科内的前沿理论问题有深入了解，对所在一级学科其他领域的理论问题有基本认识；</w:t>
      </w:r>
      <w:r>
        <w:br/>
      </w:r>
      <w:r>
        <w:rPr>
          <w:rFonts w:ascii="SimSun" w:hAnsi="SimSun"/>
          <w:b w:val="false"/>
          <w:i w:val="false"/>
          <w:color w:val="000000"/>
          <w:sz w:val="21"/>
        </w:rPr>
        <w:t>（3）能作为本学科领域的学术研究骨干，独立开展专题研究并带动其他人参与学术项目；</w:t>
      </w:r>
      <w:r>
        <w:br/>
      </w:r>
      <w:r>
        <w:rPr>
          <w:rFonts w:ascii="SimSun" w:hAnsi="SimSun"/>
          <w:b w:val="false"/>
          <w:i w:val="false"/>
          <w:color w:val="000000"/>
          <w:sz w:val="21"/>
        </w:rPr>
        <w:t>（4）能熟练运用第一外语进行原著阅读与专业论文写作；</w:t>
      </w:r>
      <w:r>
        <w:br/>
      </w:r>
      <w:r>
        <w:rPr>
          <w:rFonts w:ascii="SimSun" w:hAnsi="SimSun"/>
          <w:b w:val="false"/>
          <w:i w:val="false"/>
          <w:color w:val="000000"/>
          <w:sz w:val="21"/>
        </w:rPr>
        <w:t>（5）精通现代科研信息技术与工具应用；</w:t>
      </w:r>
      <w:r>
        <w:br/>
      </w:r>
      <w:r>
        <w:rPr>
          <w:rFonts w:ascii="SimSun" w:hAnsi="SimSun"/>
          <w:b w:val="false"/>
          <w:i w:val="false"/>
          <w:color w:val="000000"/>
          <w:sz w:val="21"/>
        </w:rPr>
        <w:t>（6）博士学位论文答辩后经修改能达到正式出版水平；</w:t>
      </w:r>
      <w:r>
        <w:br/>
      </w:r>
      <w:r>
        <w:rPr>
          <w:rFonts w:ascii="SimSun" w:hAnsi="SimSun"/>
          <w:b w:val="false"/>
          <w:i w:val="false"/>
          <w:color w:val="000000"/>
          <w:sz w:val="21"/>
        </w:rPr>
        <w:t>（7）能够在本专业范围内独立开设两门以上基础课及一门以上新开设课程。</w:t>
      </w:r>
    </w:p>
    <w:p>
      <w:pPr>
        <w:spacing w:after="0"/>
        <w:ind w:left="0"/>
        <w:jc w:val="left"/>
      </w:pPr>
      <w:r>
        <w:drawing>
          <wp:inline distT="0" distB="0" distL="0" distR="0">
            <wp:extent cx="5732145" cy="186184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861848"/>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val="false"/>
          <w:i w:val="false"/>
          <w:color w:val="000000"/>
          <w:sz w:val="21"/>
        </w:rPr>
        <w:t xml:space="preserve">
       1.修业年限：6年
      </w:t>
      </w:r>
    </w:p>
    <w:p>
      <w:pPr>
        <w:spacing w:after="0"/>
        <w:ind w:left="0"/>
        <w:jc w:val="left"/>
      </w:pPr>
      <w:r>
        <w:rPr>
          <w:rFonts w:ascii="SimSun" w:hAnsi="SimSun"/>
          <w:b w:val="false"/>
          <w:i w:val="false"/>
          <w:color w:val="000000"/>
          <w:sz w:val="21"/>
        </w:rPr>
        <w:t xml:space="preserve">
       2.学业升段考核要求：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面试内容：荣誉课程学习情况、综合评价（竞赛、比赛、科研实践情况及学术志趣等内容）
毕业论文按照本博轨道撰写方法完成</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5年级结束(4~6年级期间有2次申请机会)</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 %</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笔试科目：按照本学科规定安排博资考
面试内容：已从事的科研活动及取得的科研成果介绍，以及下一步的科研计划</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3.学业退出说明：
      </w:t>
      </w:r>
    </w:p>
    <w:tbl>
      <w:tblPr>
        <w:tblW w:w="0" w:type="auto"/>
        <w:tblCellSpacing w:w="0" w:type="auto"/>
        <w:tblBorders>
          <w:top w:val="none"/>
          <w:left w:val="none"/>
          <w:bottom w:val="none"/>
          <w:right w:val="none"/>
          <w:insideH w:val="none"/>
          <w:insideV w:val="none"/>
        </w:tblBorders>
      </w:tblPr>
      <w:tblGrid>
        <w:gridCol w:w="3818"/>
        <w:gridCol w:w="3409"/>
        <w:gridCol w:w="6407"/>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退出形式</w:t>
            </w:r>
          </w:p>
        </w:tc>
        <w:tc>
          <w:tcPr>
            <w:tcW w:w="640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退出后修读专业</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行政管理（公共政策）-人工智能双学士学位复合型人才培养项目培养方案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行政管理（公共政策）-人工智能双学士学位复合型人才培养项目本硕融通培养方案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4.学业补入说明：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是否补入</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补入时间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☑是   （总额不变，动态进出）</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3年级上学期结束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□否   （只出不进）</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p>
      <w:pPr>
        <w:spacing w:after="0"/>
        <w:ind w:left="0"/>
        <w:jc w:val="left"/>
      </w:pPr>
      <w:r>
        <w:rPr>
          <w:rFonts w:ascii="SimSun" w:hAnsi="SimSun"/>
          <w:b w:val="false"/>
          <w:i w:val="false"/>
          <w:color w:val="000000"/>
          <w:sz w:val="21"/>
        </w:rPr>
        <w:t xml:space="preserve">
       5.学位授予说明：
      </w:t>
      </w:r>
    </w:p>
    <w:tbl>
      <w:tblPr>
        <w:tblW w:w="0" w:type="auto"/>
        <w:tblCellSpacing w:w="0" w:type="auto"/>
        <w:tblBorders>
          <w:top w:val="none"/>
          <w:left w:val="none"/>
          <w:bottom w:val="none"/>
          <w:right w:val="none"/>
          <w:insideH w:val="none"/>
          <w:insideV w:val="none"/>
        </w:tblBorders>
      </w:tblPr>
      <w:tblGrid>
        <w:gridCol w:w="1637"/>
        <w:gridCol w:w="2046"/>
        <w:gridCol w:w="1772"/>
        <w:gridCol w:w="1772"/>
        <w:gridCol w:w="1772"/>
        <w:gridCol w:w="954"/>
        <w:gridCol w:w="3681"/>
      </w:tblGrid>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时间</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授予学位</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学位类型</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专业名称</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学段审核要求</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管理学学士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行政管理</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□按照不少于总学分比例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☑按照不少于学分数   198</w:t>
            </w:r>
          </w:p>
        </w:tc>
      </w:tr>
      <w:tr>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954"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☑必修课组须通过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通识教育课程36学分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专业培养课程119学分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专业进阶模块33学分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融合创新能力实训模块10学分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研究生学段（博士生资格考核分流）</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管理学硕士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☑按照本硕融通培养方案进行毕业审核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□按照硕士培养方案进行毕业审核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bl>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本硕期间必须修满教学计划规定的215学分（含实践学分不低于32.5学分；含美育学分不少于2学分，其中至少在“美学和艺术史论类”或“艺术鉴赏和评论类”课程中修读1学分，并至少参与一项艺术实践活动；劳动教育不少于32学时，并满足劳动周教育要求），包括通识教育课程39学分（其中研究生学位课3学分）、全球领导力课程模块119学分、本硕融通衔接模块25学分、硕士实务实践高阶模块10学分、人工智能专业进阶课程8学分、满足融合创新能力模块的修读。</w:t>
      </w:r>
      <w:r>
        <w:br/>
      </w:r>
      <w:r>
        <w:rPr>
          <w:rFonts w:ascii="SimSun" w:hAnsi="SimSun"/>
          <w:b w:val="false"/>
          <w:i w:val="false"/>
          <w:color w:val="000000"/>
          <w:sz w:val="21"/>
        </w:rPr>
        <w:t>其中，本科学段需要完成198学分，同时满足融合创新能力模块要求的修读。</w:t>
      </w:r>
    </w:p>
    <w:p>
      <w:pPr>
        <w:spacing w:after="0"/>
        <w:ind w:left="0"/>
        <w:jc w:val="left"/>
      </w:pPr>
      <w:r>
        <w:drawing>
          <wp:inline distT="0" distB="0" distL="0" distR="0">
            <wp:extent cx="5732145" cy="198648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86486"/>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（一）本科学位</w:t>
      </w:r>
      <w:r>
        <w:br/>
      </w:r>
      <w:r>
        <w:rPr>
          <w:rFonts w:ascii="SimSun" w:hAnsi="SimSun"/>
          <w:b w:val="false"/>
          <w:i w:val="false"/>
          <w:color w:val="000000"/>
          <w:sz w:val="21"/>
        </w:rPr>
        <w:t>四年级结束时，如达到学士学位要求者授予管理学学士学位。</w:t>
      </w:r>
      <w:r>
        <w:br/>
      </w:r>
      <w:r>
        <w:rPr>
          <w:rFonts w:ascii="SimSun" w:hAnsi="SimSun"/>
          <w:b w:val="false"/>
          <w:i w:val="false"/>
          <w:color w:val="000000"/>
          <w:sz w:val="21"/>
        </w:rPr>
        <w:t>（二）研究生学位</w:t>
      </w:r>
      <w:r>
        <w:br/>
      </w:r>
      <w:r>
        <w:rPr>
          <w:rFonts w:ascii="SimSun" w:hAnsi="SimSun"/>
          <w:b w:val="false"/>
          <w:i w:val="false"/>
          <w:color w:val="000000"/>
          <w:sz w:val="21"/>
        </w:rPr>
        <w:t>1、如达到硕士学位要求者授予管理学硕士学位。</w:t>
      </w:r>
      <w:r>
        <w:br/>
      </w:r>
      <w:r>
        <w:rPr>
          <w:rFonts w:ascii="SimSun" w:hAnsi="SimSun"/>
          <w:b w:val="false"/>
          <w:i w:val="false"/>
          <w:color w:val="000000"/>
          <w:sz w:val="21"/>
        </w:rPr>
        <w:t>（1）硕士学位申请人提出学位论文答辩申请时，必须已修满学校规定的学分；所有修读课程成绩合格，其中学位课程平均绩点原则上不低于 2.5。</w:t>
      </w:r>
      <w:r>
        <w:br/>
      </w:r>
      <w:r>
        <w:rPr>
          <w:rFonts w:ascii="SimSun" w:hAnsi="SimSun"/>
          <w:b w:val="false"/>
          <w:i w:val="false"/>
          <w:color w:val="000000"/>
          <w:sz w:val="21"/>
        </w:rPr>
        <w:t>（2）具体参照《复旦大学学位授予工作细则》《复旦大学硕士学位基本要求》或所属一级学科或专业学位类别的《学位授予标准》及院系相关文件规定执行。</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52376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523768"/>
                    </a:xfrm>
                    <a:prstGeom prst="rect">
                      <a:avLst/>
                    </a:prstGeom>
                  </pic:spPr>
                </pic:pic>
              </a:graphicData>
            </a:graphic>
          </wp:inline>
        </w:drawing>
      </w:r>
    </w:p>
    <w:p>
      <w:pPr>
        <w:spacing w:after="0"/>
        <w:ind w:left="0"/>
        <w:jc w:val="left"/>
      </w:pPr>
      <w:r>
        <w:rPr>
          <w:rFonts w:ascii="SimSun" w:hAnsi="SimSun"/>
          <w:b w:val="false"/>
          <w:i w:val="false"/>
          <w:color w:val="000000"/>
          <w:sz w:val="21"/>
        </w:rPr>
        <w:t xml:space="preserve">        本硕双导师制实务实践训练体系注重培养学生在国家治理与全球治理领域的实务工作能力，增强应对复杂治理问题的实践经验和专业素养，提升就业竞争力与胜任力。双导师拟由学术导师（专任教师）与行业导师（政府、企事业单位等业内人士）组成。</w:t>
      </w:r>
      <w:r>
        <w:br/>
      </w:r>
      <w:r>
        <w:rPr>
          <w:rFonts w:ascii="SimSun" w:hAnsi="SimSun"/>
          <w:b w:val="false"/>
          <w:i w:val="false"/>
          <w:color w:val="000000"/>
          <w:sz w:val="21"/>
        </w:rPr>
        <w:t xml:space="preserve">        1.本科阶段培养设计</w:t>
      </w:r>
      <w:r>
        <w:br/>
      </w:r>
      <w:r>
        <w:rPr>
          <w:rFonts w:ascii="SimSun" w:hAnsi="SimSun"/>
          <w:b w:val="false"/>
          <w:i w:val="false"/>
          <w:color w:val="000000"/>
          <w:sz w:val="21"/>
        </w:rPr>
        <w:t>本科阶段将国务学院“中国之治”国情育人项目、“全球之治”世情育人项目以及相关学科竞赛列入本硕融通轨道学生必修项目清单。“中国之治”国情育人项目包括：中国之治社会实践项目（重点项目+日常化项目）；“全球之治”世情育人项目包括：青年全球治理创新设计大赛（YICGG）、澜沧江-湄公河”流域治理与发展青年创新设计大赛（YICMG）、“荣昶学者”全球治理人才培养专项计划等；学科竞赛包括“中国之治”治理案例分析大赛以及复旦大学本科生学科竞赛工作管理办法适用竞赛表所列本学科相关赛事及其他本学院认定的高水平、有影响力的赛事。</w:t>
      </w:r>
      <w:r>
        <w:br/>
      </w:r>
      <w:r>
        <w:rPr>
          <w:rFonts w:ascii="SimSun" w:hAnsi="SimSun"/>
          <w:b w:val="false"/>
          <w:i w:val="false"/>
          <w:color w:val="000000"/>
          <w:sz w:val="21"/>
        </w:rPr>
        <w:t>在该阶段，学生可选择以下两种方式之一完成培养：</w:t>
      </w:r>
      <w:r>
        <w:br/>
      </w:r>
      <w:r>
        <w:rPr>
          <w:rFonts w:ascii="SimSun" w:hAnsi="SimSun"/>
          <w:b w:val="false"/>
          <w:i w:val="false"/>
          <w:color w:val="000000"/>
          <w:sz w:val="21"/>
        </w:rPr>
        <w:t>方式一，学生在本科阶段第三学年末或第四学年初规定时间前以“队长/项目负责人”身份完成一个“中国之治”项目，并以项目调研报告为基础，继续以“队长/项目负责人”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w:t>
      </w:r>
      <w:r>
        <w:br/>
      </w:r>
      <w:r>
        <w:rPr>
          <w:rFonts w:ascii="SimSun" w:hAnsi="SimSun"/>
          <w:b w:val="false"/>
          <w:i w:val="false"/>
          <w:color w:val="000000"/>
          <w:sz w:val="21"/>
        </w:rPr>
        <w:t>方式二，学生在本科阶段第三学年末或第四学年初规定时间前以“活动组织者”身份至少在1个“中国之治”、“全球之治”或“中国之治”治理案例分析大赛项目组中服务，且服务时长不少于1学年。修读认定以项目组出具的证明材料为准。此外，学生还应以“队长/项目负责人”或“项目团队成员排位前两名（除负责人外）”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学院出台相关政策，为上述竞赛活动的评审工作提供制度保障。</w:t>
      </w:r>
      <w:r>
        <w:br/>
      </w:r>
      <w:r>
        <w:rPr>
          <w:rFonts w:ascii="SimSun" w:hAnsi="SimSun"/>
          <w:b w:val="false"/>
          <w:i w:val="false"/>
          <w:color w:val="000000"/>
          <w:sz w:val="21"/>
        </w:rPr>
        <w:t>本科毕业时，学生如作为“队长/项目负责人”身份完成上述竞赛参赛要求，则可选择将参与竞赛所撰写研究论文或比赛报告作为本科毕业论文送审，学院出台相应配套政策，进行审核与学分认定。若结项报告、研究论文为团队成果，学生在申请认定其为本科毕业论文时，应取得指导老师以及课题团队成员书面一致同意，且每份报告或论文只适用一次本科毕业论文答辩申请。学生如作为“项目团队成员排位前两名（除负责人外）”时，则须独立撰写一篇毕业论文送审。</w:t>
      </w:r>
    </w:p>
    <w:p>
      <w:pPr>
        <w:spacing w:after="0"/>
        <w:ind w:left="0"/>
        <w:jc w:val="left"/>
      </w:pPr>
      <w:r>
        <w:rPr>
          <w:rFonts w:ascii="SimSun" w:hAnsi="SimSun"/>
          <w:b w:val="false"/>
          <w:i w:val="false"/>
          <w:color w:val="000000"/>
          <w:sz w:val="21"/>
        </w:rPr>
        <w:t xml:space="preserve"> 2.硕士研究生阶段要求</w:t>
      </w:r>
      <w:r>
        <w:br/>
      </w:r>
      <w:r>
        <w:rPr>
          <w:rFonts w:ascii="SimSun" w:hAnsi="SimSun"/>
          <w:b w:val="false"/>
          <w:i w:val="false"/>
          <w:color w:val="000000"/>
          <w:sz w:val="21"/>
        </w:rPr>
        <w:t>硕士阶段将学生参与指导国务学院“中国之治”国情育人项目、“全球之治”世情育人项目、“中国之治”治理案例分析大赛以及相关学科竞赛列入本硕融通轨道学生必修项目。学生在硕士研究生培养阶段为至少一个本科生学科竞赛参赛队伍担任“助导”工作，辅助竞赛队伍指导教师提供全程指导，相关认定以有效参赛证明以及指导教师认可材料为准。</w:t>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通识教育课程（39学分,本科要求36.0学分）
      </w:t>
      </w:r>
    </w:p>
    <w:p>
      <w:pPr>
        <w:spacing w:after="0"/>
        <w:ind w:left="0"/>
        <w:jc w:val="left"/>
      </w:pPr>
      <w:r>
        <w:rPr>
          <w:rFonts w:ascii="SimSun" w:hAnsi="SimSun"/>
          <w:b/>
          <w:i w:val="false"/>
          <w:color w:val="000000"/>
          <w:sz w:val="21"/>
        </w:rPr>
        <w:t xml:space="preserve">
       1.  通识教育核心课程（26学分）
      </w:t>
      </w:r>
    </w:p>
    <w:p>
      <w:pPr>
        <w:spacing w:after="0"/>
        <w:ind w:left="0"/>
        <w:jc w:val="left"/>
      </w:pPr>
      <w:r>
        <w:rPr>
          <w:rFonts w:ascii="SimSun" w:hAnsi="SimSun"/>
          <w:b/>
          <w:i w:val="false"/>
          <w:color w:val="000000"/>
          <w:sz w:val="21"/>
        </w:rPr>
        <w:t xml:space="preserve">
       2.  通识教育专项教育课程（13学分,本科要求13.0学分）
      </w:t>
      </w:r>
    </w:p>
    <w:p>
      <w:pPr>
        <w:spacing w:after="0"/>
        <w:ind w:left="0"/>
        <w:jc w:val="left"/>
      </w:pPr>
      <w:r>
        <w:rPr>
          <w:rFonts w:ascii="SimSun" w:hAnsi="SimSun"/>
          <w:b/>
          <w:i w:val="false"/>
          <w:color w:val="000000"/>
          <w:sz w:val="21"/>
        </w:rPr>
        <w:t xml:space="preserve">
       (二) 专业培养课程（119学分,本科要求119.0学分）
      </w:t>
      </w:r>
    </w:p>
    <w:p>
      <w:pPr>
        <w:spacing w:after="0"/>
        <w:ind w:left="0"/>
        <w:jc w:val="left"/>
      </w:pPr>
      <w:r>
        <w:rPr>
          <w:rFonts w:ascii="SimSun" w:hAnsi="SimSun"/>
          <w:b/>
          <w:i w:val="false"/>
          <w:color w:val="000000"/>
          <w:sz w:val="21"/>
        </w:rPr>
        <w:t xml:space="preserve">
       1.  学科基础课程（46学分,本科要求46.0学分）
      </w:t>
      </w:r>
    </w:p>
    <w:tbl>
      <w:tblPr>
        <w:tblW w:w="0" w:type="auto"/>
        <w:tblCellSpacing w:w="0" w:type="auto"/>
        <w:tblBorders>
          <w:top w:val="none"/>
          <w:left w:val="none"/>
          <w:bottom w:val="none"/>
          <w:right w:val="none"/>
          <w:insideH w:val="none"/>
          <w:insideV w:val="none"/>
        </w:tblBorders>
      </w:tblPr>
      <w:tblGrid>
        <w:gridCol w:w="2030"/>
        <w:gridCol w:w="2706"/>
        <w:gridCol w:w="676"/>
        <w:gridCol w:w="690"/>
        <w:gridCol w:w="936"/>
        <w:gridCol w:w="1616"/>
        <w:gridCol w:w="676"/>
        <w:gridCol w:w="676"/>
        <w:gridCol w:w="676"/>
        <w:gridCol w:w="676"/>
        <w:gridCol w:w="938"/>
        <w:gridCol w:w="1338"/>
      </w:tblGrid>
      <w:tr>
        <w:trPr>
          <w:trHeight w:val="45" w:hRule="atLeast"/>
        </w:trPr>
        <w:tc>
          <w:tcPr>
            <w:tcW w:w="20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0"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微积分AⅠ</w:t>
            </w:r>
            <w:r>
              <w:br/>
            </w:r>
            <w:r>
              <w:rPr>
                <w:rFonts w:ascii="SimSun" w:hAnsi="SimSun"/>
                <w:b w:val="false"/>
                <w:i w:val="false"/>
                <w:color w:val="000000"/>
                <w:sz w:val="21"/>
              </w:rPr>
              <w:t>Calculus A Ⅰ</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MATH10026</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微积分AⅡ</w:t>
            </w:r>
            <w:r>
              <w:br/>
            </w:r>
            <w:r>
              <w:rPr>
                <w:rFonts w:ascii="SimSun" w:hAnsi="SimSun"/>
                <w:b w:val="false"/>
                <w:i w:val="false"/>
                <w:color w:val="000000"/>
                <w:sz w:val="21"/>
              </w:rPr>
              <w:t>Calculus A Ⅱ</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MATH10027</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线性代数B</w:t>
            </w:r>
            <w:r>
              <w:br/>
            </w:r>
            <w:r>
              <w:rPr>
                <w:rFonts w:ascii="SimSun" w:hAnsi="SimSun"/>
                <w:b w:val="false"/>
                <w:i w:val="false"/>
                <w:color w:val="000000"/>
                <w:sz w:val="21"/>
              </w:rPr>
              <w:t>Linear Algebra B</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MATH10032</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9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9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专业核心教育课程（73学分,本科要求73.0学分）
      </w:t>
      </w:r>
    </w:p>
    <w:tbl>
      <w:tblPr>
        <w:tblW w:w="0" w:type="auto"/>
        <w:tblCellSpacing w:w="0" w:type="auto"/>
        <w:tblBorders>
          <w:top w:val="none"/>
          <w:left w:val="none"/>
          <w:bottom w:val="none"/>
          <w:right w:val="none"/>
          <w:insideH w:val="none"/>
          <w:insideV w:val="none"/>
        </w:tblBorders>
      </w:tblPr>
      <w:tblGrid>
        <w:gridCol w:w="2024"/>
        <w:gridCol w:w="2712"/>
        <w:gridCol w:w="676"/>
        <w:gridCol w:w="679"/>
        <w:gridCol w:w="938"/>
        <w:gridCol w:w="1616"/>
        <w:gridCol w:w="677"/>
        <w:gridCol w:w="677"/>
        <w:gridCol w:w="677"/>
        <w:gridCol w:w="677"/>
        <w:gridCol w:w="940"/>
        <w:gridCol w:w="1341"/>
      </w:tblGrid>
      <w:tr>
        <w:trPr>
          <w:trHeight w:val="45" w:hRule="atLeast"/>
        </w:trPr>
        <w:tc>
          <w:tcPr>
            <w:tcW w:w="20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24"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管理学原理</w:t>
            </w:r>
            <w:r>
              <w:br/>
            </w:r>
            <w:r>
              <w:rPr>
                <w:rFonts w:ascii="SimSun" w:hAnsi="SimSun"/>
                <w:b w:val="false"/>
                <w:i w:val="false"/>
                <w:color w:val="000000"/>
                <w:sz w:val="21"/>
              </w:rPr>
              <w:t>Principles of Management</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政府经济学</w:t>
            </w:r>
            <w:r>
              <w:br/>
            </w:r>
            <w:r>
              <w:rPr>
                <w:rFonts w:ascii="SimSun" w:hAnsi="SimSun"/>
                <w:b w:val="false"/>
                <w:i w:val="false"/>
                <w:color w:val="000000"/>
                <w:sz w:val="21"/>
              </w:rPr>
              <w:t>Government 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POLI30025</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公共行政学说史</w:t>
            </w:r>
            <w:r>
              <w:br/>
            </w:r>
            <w:r>
              <w:rPr>
                <w:rFonts w:ascii="SimSun" w:hAnsi="SimSun"/>
                <w:b w:val="false"/>
                <w:i w:val="false"/>
                <w:color w:val="000000"/>
                <w:sz w:val="21"/>
              </w:rPr>
              <w:t>History of Public Administration Theory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数字治理</w:t>
            </w:r>
            <w:r>
              <w:br/>
            </w:r>
            <w:r>
              <w:rPr>
                <w:rFonts w:ascii="SimSun" w:hAnsi="SimSun"/>
                <w:b w:val="false"/>
                <w:i w:val="false"/>
                <w:color w:val="000000"/>
                <w:sz w:val="21"/>
              </w:rPr>
              <w:t>Digital Governance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行政法</w:t>
            </w:r>
            <w:r>
              <w:br/>
            </w:r>
            <w:r>
              <w:rPr>
                <w:rFonts w:ascii="SimSun" w:hAnsi="SimSun"/>
                <w:b w:val="false"/>
                <w:i w:val="false"/>
                <w:color w:val="000000"/>
                <w:sz w:val="21"/>
              </w:rPr>
              <w:t>Administrative Law</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比较公共行政</w:t>
            </w:r>
            <w:r>
              <w:br/>
            </w:r>
            <w:r>
              <w:rPr>
                <w:rFonts w:ascii="SimSun" w:hAnsi="SimSun"/>
                <w:b w:val="false"/>
                <w:i w:val="false"/>
                <w:color w:val="000000"/>
                <w:sz w:val="21"/>
              </w:rPr>
              <w:t>Comparative Study of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MANA50002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公务员制度</w:t>
            </w:r>
            <w:r>
              <w:br/>
            </w:r>
            <w:r>
              <w:rPr>
                <w:rFonts w:ascii="SimSun" w:hAnsi="SimSun"/>
                <w:b w:val="false"/>
                <w:i w:val="false"/>
                <w:color w:val="000000"/>
                <w:sz w:val="21"/>
              </w:rPr>
              <w:t>Civil Servants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人力资源开发与管理</w:t>
            </w:r>
            <w:r>
              <w:br/>
            </w:r>
            <w:r>
              <w:rPr>
                <w:rFonts w:ascii="SimSun" w:hAnsi="SimSun"/>
                <w:b w:val="false"/>
                <w:i w:val="false"/>
                <w:color w:val="000000"/>
                <w:sz w:val="21"/>
              </w:rPr>
              <w:t>Development and Management of Human Resources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组织行为学</w:t>
            </w:r>
            <w:r>
              <w:br/>
            </w:r>
            <w:r>
              <w:rPr>
                <w:rFonts w:ascii="SimSun" w:hAnsi="SimSun"/>
                <w:b w:val="false"/>
                <w:i w:val="false"/>
                <w:color w:val="000000"/>
                <w:sz w:val="21"/>
              </w:rPr>
              <w:t>Organizational Behavior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当代中国公共行政</w:t>
            </w:r>
            <w:r>
              <w:br/>
            </w:r>
            <w:r>
              <w:rPr>
                <w:rFonts w:ascii="SimSun" w:hAnsi="SimSun"/>
                <w:b w:val="false"/>
                <w:i w:val="false"/>
                <w:color w:val="000000"/>
                <w:sz w:val="21"/>
              </w:rPr>
              <w:t>Contemporary Chinese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POLI30047</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当代中国公共政策</w:t>
            </w:r>
            <w:r>
              <w:br/>
            </w:r>
            <w:r>
              <w:rPr>
                <w:rFonts w:ascii="SimSun" w:hAnsi="SimSun"/>
                <w:b w:val="false"/>
                <w:i w:val="false"/>
                <w:color w:val="000000"/>
                <w:sz w:val="21"/>
              </w:rPr>
              <w:t>Contemporary Chinese Public Policy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公共管理伦理</w:t>
            </w:r>
            <w:r>
              <w:br/>
            </w:r>
            <w:r>
              <w:rPr>
                <w:rFonts w:ascii="SimSun" w:hAnsi="SimSun"/>
                <w:b w:val="false"/>
                <w:i w:val="false"/>
                <w:color w:val="000000"/>
                <w:sz w:val="21"/>
              </w:rPr>
              <w:t>Public Administration Ethics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公共事业管理</w:t>
            </w:r>
            <w:r>
              <w:br/>
            </w:r>
            <w:r>
              <w:rPr>
                <w:rFonts w:ascii="SimSun" w:hAnsi="SimSun"/>
                <w:b w:val="false"/>
                <w:i w:val="false"/>
                <w:color w:val="000000"/>
                <w:sz w:val="21"/>
              </w:rPr>
              <w:t>Management in Public Sector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人工智能的编程基础</w:t>
            </w:r>
            <w:r>
              <w:br/>
            </w:r>
            <w:r>
              <w:rPr>
                <w:rFonts w:ascii="SimSun" w:hAnsi="SimSun"/>
                <w:b w:val="false"/>
                <w:i w:val="false"/>
                <w:color w:val="000000"/>
                <w:sz w:val="21"/>
              </w:rPr>
              <w:t>Fundamentals of Artificial Intelligence Programming</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数据结构</w:t>
            </w:r>
            <w:r>
              <w:br/>
            </w:r>
            <w:r>
              <w:rPr>
                <w:rFonts w:ascii="SimSun" w:hAnsi="SimSun"/>
                <w:b w:val="false"/>
                <w:i w:val="false"/>
                <w:color w:val="000000"/>
                <w:sz w:val="21"/>
              </w:rPr>
              <w:t>Data Structure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AIE310007</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人工智能的数学基础</w:t>
            </w:r>
            <w:r>
              <w:br/>
            </w:r>
            <w:r>
              <w:rPr>
                <w:rFonts w:ascii="SimSun" w:hAnsi="SimSun"/>
                <w:b w:val="false"/>
                <w:i w:val="false"/>
                <w:color w:val="000000"/>
                <w:sz w:val="21"/>
              </w:rPr>
              <w:t>Mathematical Foundations of Artificial Intelligence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计算机系统基础</w:t>
            </w:r>
            <w:r>
              <w:br/>
            </w:r>
            <w:r>
              <w:rPr>
                <w:rFonts w:ascii="SimSun" w:hAnsi="SimSun"/>
                <w:b w:val="false"/>
                <w:i w:val="false"/>
                <w:color w:val="000000"/>
                <w:sz w:val="21"/>
              </w:rPr>
              <w:t>Principles of Computer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AIE210006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人工智能导论</w:t>
            </w:r>
            <w:r>
              <w:br/>
            </w:r>
            <w:r>
              <w:rPr>
                <w:rFonts w:ascii="SimSun" w:hAnsi="SimSun"/>
                <w:b w:val="false"/>
                <w:i w:val="false"/>
                <w:color w:val="000000"/>
                <w:sz w:val="21"/>
              </w:rPr>
              <w:t>Introduction to Artificial Intelligence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AIE310005</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人工智能的软件基础</w:t>
            </w:r>
            <w:r>
              <w:br/>
            </w:r>
            <w:r>
              <w:rPr>
                <w:rFonts w:ascii="SimSun" w:hAnsi="SimSun"/>
                <w:b w:val="false"/>
                <w:i w:val="false"/>
                <w:color w:val="000000"/>
                <w:sz w:val="21"/>
              </w:rPr>
              <w:t>Foundations of Software for Artificial Intelligence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and Machine Learning</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人工智能安全</w:t>
            </w:r>
            <w:r>
              <w:br/>
            </w:r>
            <w:r>
              <w:rPr>
                <w:rFonts w:ascii="SimSun" w:hAnsi="SimSun"/>
                <w:b w:val="false"/>
                <w:i w:val="false"/>
                <w:color w:val="000000"/>
                <w:sz w:val="21"/>
              </w:rPr>
              <w:t>AI Security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AIE831001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人工智能的伦理与治理</w:t>
            </w:r>
            <w:r>
              <w:br/>
            </w:r>
            <w:r>
              <w:rPr>
                <w:rFonts w:ascii="SimSun" w:hAnsi="SimSun"/>
                <w:b w:val="false"/>
                <w:i w:val="false"/>
                <w:color w:val="000000"/>
                <w:sz w:val="21"/>
              </w:rPr>
              <w:t>The Ethics and Governance of AI</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人工智能前沿探索实践</w:t>
            </w:r>
            <w:r>
              <w:br/>
            </w:r>
            <w:r>
              <w:rPr>
                <w:rFonts w:ascii="SimSun" w:hAnsi="SimSun"/>
                <w:b w:val="false"/>
                <w:i w:val="false"/>
                <w:color w:val="000000"/>
                <w:sz w:val="21"/>
              </w:rPr>
              <w:t>Practical Exploration of Frontiers in Artificial Intelligence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AIE531001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统计学</w:t>
            </w:r>
            <w:r>
              <w:br/>
            </w:r>
            <w:r>
              <w:rPr>
                <w:rFonts w:ascii="SimSun" w:hAnsi="SimSun"/>
                <w:b w:val="false"/>
                <w:i w:val="false"/>
                <w:color w:val="000000"/>
                <w:sz w:val="21"/>
              </w:rPr>
              <w:t>Statistics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SOCI20003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宏观经济学</w:t>
            </w:r>
            <w:r>
              <w:br/>
            </w:r>
            <w:r>
              <w:rPr>
                <w:rFonts w:ascii="SimSun" w:hAnsi="SimSun"/>
                <w:b w:val="false"/>
                <w:i w:val="false"/>
                <w:color w:val="000000"/>
                <w:sz w:val="21"/>
              </w:rPr>
              <w:t>Macroeconomics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微观经济学</w:t>
            </w:r>
            <w:r>
              <w:br/>
            </w:r>
            <w:r>
              <w:rPr>
                <w:rFonts w:ascii="SimSun" w:hAnsi="SimSun"/>
                <w:b w:val="false"/>
                <w:i w:val="false"/>
                <w:color w:val="000000"/>
                <w:sz w:val="21"/>
              </w:rPr>
              <w:t>Microeconomics</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ECON20003</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包括本硕实务实践衔接课程包、硕士实务实践高阶课程模块、人工智能专业进阶课程，按路径要求修读课程。
      </w:t>
      </w:r>
    </w:p>
    <w:p>
      <w:pPr>
        <w:spacing w:after="0"/>
        <w:ind w:left="0"/>
        <w:jc w:val="left"/>
      </w:pPr>
      <w:r>
        <w:rPr>
          <w:rFonts w:ascii="SimSun" w:hAnsi="SimSun"/>
          <w:b/>
          <w:i w:val="false"/>
          <w:color w:val="000000"/>
          <w:sz w:val="21"/>
        </w:rPr>
        <w:t xml:space="preserve">
       1.  专业进阶路径（43学分）
      </w:t>
      </w:r>
    </w:p>
    <w:p>
      <w:pPr>
        <w:spacing w:after="0"/>
        <w:ind w:left="0"/>
        <w:jc w:val="left"/>
      </w:pPr>
      <w:r>
        <w:rPr>
          <w:rFonts w:ascii="SimSun" w:hAnsi="SimSun"/>
          <w:b/>
          <w:i w:val="false"/>
          <w:color w:val="000000"/>
          <w:sz w:val="21"/>
        </w:rPr>
        <w:t xml:space="preserve">
       (1) 专业进阶I（33学分,本科要求33.0学分）
      </w:t>
      </w:r>
    </w:p>
    <w:p>
      <w:pPr>
        <w:spacing w:after="0"/>
        <w:ind w:left="0"/>
        <w:jc w:val="left"/>
      </w:pPr>
      <w:r>
        <w:rPr>
          <w:rFonts w:ascii="SimSun" w:hAnsi="SimSun"/>
          <w:b/>
          <w:i w:val="false"/>
          <w:color w:val="000000"/>
          <w:sz w:val="21"/>
        </w:rPr>
        <w:t xml:space="preserve">
       a) 本硕实务实践衔接课程包（25学分,本科要求25.0学分）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r>
              <w:br/>
            </w:r>
            <w:r>
              <w:rPr>
                <w:rFonts w:ascii="SimSun" w:hAnsi="SimSun"/>
                <w:b w:val="false"/>
                <w:i w:val="false"/>
                <w:color w:val="000000"/>
                <w:sz w:val="21"/>
              </w:rPr>
              <w:t>Public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公共政策分析</w:t>
            </w:r>
            <w:r>
              <w:br/>
            </w:r>
            <w:r>
              <w:rPr>
                <w:rFonts w:ascii="SimSun" w:hAnsi="SimSun"/>
                <w:b w:val="false"/>
                <w:i w:val="false"/>
                <w:color w:val="000000"/>
                <w:sz w:val="21"/>
              </w:rPr>
              <w:t>Public Policy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政府财政与预算</w:t>
            </w:r>
            <w:r>
              <w:br/>
            </w:r>
            <w:r>
              <w:rPr>
                <w:rFonts w:ascii="SimSun" w:hAnsi="SimSun"/>
                <w:b w:val="false"/>
                <w:i w:val="false"/>
                <w:color w:val="000000"/>
                <w:sz w:val="21"/>
              </w:rPr>
              <w:t>Public Finance and Budgeting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GEEC20011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应急管理</w:t>
            </w:r>
            <w:r>
              <w:br/>
            </w:r>
            <w:r>
              <w:rPr>
                <w:rFonts w:ascii="SimSun" w:hAnsi="SimSun"/>
                <w:b w:val="false"/>
                <w:i w:val="false"/>
                <w:color w:val="000000"/>
                <w:sz w:val="21"/>
              </w:rPr>
              <w:t>Emergency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政府运行保障管理</w:t>
            </w:r>
            <w:r>
              <w:br/>
            </w:r>
            <w:r>
              <w:rPr>
                <w:rFonts w:ascii="SimSun" w:hAnsi="SimSun"/>
                <w:b w:val="false"/>
                <w:i w:val="false"/>
                <w:color w:val="000000"/>
                <w:sz w:val="21"/>
              </w:rPr>
              <w:t>Government Operation and Supply Chain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国际公共行政</w:t>
            </w:r>
            <w:r>
              <w:br/>
            </w:r>
            <w:r>
              <w:rPr>
                <w:rFonts w:ascii="SimSun" w:hAnsi="SimSun"/>
                <w:b w:val="false"/>
                <w:i w:val="false"/>
                <w:color w:val="000000"/>
                <w:sz w:val="21"/>
              </w:rPr>
              <w:t>International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AI赋能的政务服务再造</w:t>
            </w:r>
            <w:r>
              <w:br/>
            </w:r>
            <w:r>
              <w:rPr>
                <w:rFonts w:ascii="SimSun" w:hAnsi="SimSun"/>
                <w:b w:val="false"/>
                <w:i w:val="false"/>
                <w:color w:val="000000"/>
                <w:sz w:val="21"/>
              </w:rPr>
              <w:t>AI-empowered Reengineering of Government Services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城乡治理理论与实践</w:t>
            </w:r>
            <w:r>
              <w:br/>
            </w:r>
            <w:r>
              <w:rPr>
                <w:rFonts w:ascii="SimSun" w:hAnsi="SimSun"/>
                <w:b w:val="false"/>
                <w:i w:val="false"/>
                <w:color w:val="000000"/>
                <w:sz w:val="21"/>
              </w:rPr>
              <w:t>Theories and Practice of Rural-urban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发展经济学</w:t>
            </w:r>
            <w:r>
              <w:br/>
            </w:r>
            <w:r>
              <w:rPr>
                <w:rFonts w:ascii="SimSun" w:hAnsi="SimSun"/>
                <w:b w:val="false"/>
                <w:i w:val="false"/>
                <w:color w:val="000000"/>
                <w:sz w:val="21"/>
              </w:rPr>
              <w:t>Economics of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地理信息系统与空间分析</w:t>
            </w:r>
            <w:r>
              <w:br/>
            </w:r>
            <w:r>
              <w:rPr>
                <w:rFonts w:ascii="SimSun" w:hAnsi="SimSun"/>
                <w:b w:val="false"/>
                <w:i w:val="false"/>
                <w:color w:val="000000"/>
                <w:sz w:val="21"/>
              </w:rPr>
              <w:t>Geographic Information System and Spatial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GEEC30013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政府监管理论与实践</w:t>
            </w:r>
            <w:r>
              <w:br/>
            </w:r>
            <w:r>
              <w:rPr>
                <w:rFonts w:ascii="SimSun" w:hAnsi="SimSun"/>
                <w:b w:val="false"/>
                <w:i w:val="false"/>
                <w:color w:val="000000"/>
                <w:sz w:val="21"/>
              </w:rPr>
              <w:t>Theory and Practice of Government Regulation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运筹学</w:t>
            </w:r>
            <w:r>
              <w:br/>
            </w:r>
            <w:r>
              <w:rPr>
                <w:rFonts w:ascii="SimSun" w:hAnsi="SimSun"/>
                <w:b w:val="false"/>
                <w:i w:val="false"/>
                <w:color w:val="000000"/>
                <w:sz w:val="21"/>
              </w:rPr>
              <w:t>Operations  Research</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ECON30054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ESE50034</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人工智能专业进阶（8学分,本科要求8.0学分）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集合与图论</w:t>
            </w:r>
            <w:r>
              <w:br/>
            </w:r>
            <w:r>
              <w:rPr>
                <w:rFonts w:ascii="SimSun" w:hAnsi="SimSun"/>
                <w:b w:val="false"/>
                <w:i w:val="false"/>
                <w:color w:val="000000"/>
                <w:sz w:val="21"/>
              </w:rPr>
              <w:t>Set Theory and Graph Theory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CS30043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计算机组成与体系结构</w:t>
            </w:r>
            <w:r>
              <w:br/>
            </w:r>
            <w:r>
              <w:rPr>
                <w:rFonts w:ascii="SimSun" w:hAnsi="SimSun"/>
                <w:b w:val="false"/>
                <w:i w:val="false"/>
                <w:color w:val="000000"/>
                <w:sz w:val="21"/>
              </w:rPr>
              <w:t>Computer Organization and Architecture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CS30052</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数据库系统</w:t>
            </w:r>
            <w:r>
              <w:br/>
            </w:r>
            <w:r>
              <w:rPr>
                <w:rFonts w:ascii="SimSun" w:hAnsi="SimSun"/>
                <w:b w:val="false"/>
                <w:i w:val="false"/>
                <w:color w:val="000000"/>
                <w:sz w:val="21"/>
              </w:rPr>
              <w:t>Database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计算机网络</w:t>
            </w:r>
            <w:r>
              <w:br/>
            </w:r>
            <w:r>
              <w:rPr>
                <w:rFonts w:ascii="SimSun" w:hAnsi="SimSun"/>
                <w:b w:val="false"/>
                <w:i w:val="false"/>
                <w:color w:val="000000"/>
                <w:sz w:val="21"/>
              </w:rPr>
              <w:t>Computer Networks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软件工程</w:t>
            </w:r>
            <w:r>
              <w:br/>
            </w:r>
            <w:r>
              <w:rPr>
                <w:rFonts w:ascii="SimSun" w:hAnsi="SimSun"/>
                <w:b w:val="false"/>
                <w:i w:val="false"/>
                <w:color w:val="000000"/>
                <w:sz w:val="21"/>
              </w:rPr>
              <w:t>Software Engineering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机器学习系统</w:t>
            </w:r>
            <w:r>
              <w:br/>
            </w:r>
            <w:r>
              <w:rPr>
                <w:rFonts w:ascii="SimSun" w:hAnsi="SimSun"/>
                <w:b w:val="false"/>
                <w:i w:val="false"/>
                <w:color w:val="000000"/>
                <w:sz w:val="21"/>
              </w:rPr>
              <w:t>Machine Learning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计算机图形学</w:t>
            </w:r>
            <w:r>
              <w:br/>
            </w:r>
            <w:r>
              <w:rPr>
                <w:rFonts w:ascii="SimSun" w:hAnsi="SimSun"/>
                <w:b w:val="false"/>
                <w:i w:val="false"/>
                <w:color w:val="000000"/>
                <w:sz w:val="21"/>
              </w:rPr>
              <w:t>Computer Graphics</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CS30006</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专业进阶II（10学分）
      </w:t>
      </w:r>
    </w:p>
    <w:p>
      <w:pPr>
        <w:spacing w:after="0"/>
        <w:ind w:left="0"/>
        <w:jc w:val="left"/>
      </w:pPr>
      <w:r>
        <w:rPr>
          <w:rFonts w:ascii="SimSun" w:hAnsi="SimSun"/>
          <w:b w:val="false"/>
          <w:i w:val="false"/>
          <w:color w:val="000000"/>
          <w:sz w:val="21"/>
        </w:rPr>
        <w:t xml:space="preserve">
       II.硕士实务实践高阶课程模块（10学分）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战略研究与政策分析</w:t>
            </w:r>
            <w:r>
              <w:br/>
            </w:r>
            <w:r>
              <w:rPr>
                <w:rFonts w:ascii="SimSun" w:hAnsi="SimSun"/>
                <w:b w:val="false"/>
                <w:i w:val="false"/>
                <w:color w:val="000000"/>
                <w:sz w:val="21"/>
              </w:rPr>
              <w:t>Strategic Studies and Policy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公共行政的艺术与实践</w:t>
            </w:r>
            <w:r>
              <w:br/>
            </w:r>
            <w:r>
              <w:rPr>
                <w:rFonts w:ascii="SimSun" w:hAnsi="SimSun"/>
                <w:b w:val="false"/>
                <w:i w:val="false"/>
                <w:color w:val="000000"/>
                <w:sz w:val="21"/>
              </w:rPr>
              <w:t>The Art and Practice of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数字时代的政府治理</w:t>
            </w:r>
            <w:r>
              <w:br/>
            </w:r>
            <w:r>
              <w:rPr>
                <w:rFonts w:ascii="SimSun" w:hAnsi="SimSun"/>
                <w:b w:val="false"/>
                <w:i w:val="false"/>
                <w:color w:val="000000"/>
                <w:sz w:val="21"/>
              </w:rPr>
              <w:t>Governance in the Digital Era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MANA50005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风险分析与评估</w:t>
            </w:r>
            <w:r>
              <w:br/>
            </w:r>
            <w:r>
              <w:rPr>
                <w:rFonts w:ascii="SimSun" w:hAnsi="SimSun"/>
                <w:b w:val="false"/>
                <w:i w:val="false"/>
                <w:color w:val="000000"/>
                <w:sz w:val="21"/>
              </w:rPr>
              <w:t>Risk Analysis and Assessment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国有资产管理研究</w:t>
            </w:r>
            <w:r>
              <w:br/>
            </w:r>
            <w:r>
              <w:rPr>
                <w:rFonts w:ascii="SimSun" w:hAnsi="SimSun"/>
                <w:b w:val="false"/>
                <w:i w:val="false"/>
                <w:color w:val="000000"/>
                <w:sz w:val="21"/>
              </w:rPr>
              <w:t>State-owned Assets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MANA60065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公共机构节能管理</w:t>
            </w:r>
            <w:r>
              <w:br/>
            </w:r>
            <w:r>
              <w:rPr>
                <w:rFonts w:ascii="SimSun" w:hAnsi="SimSun"/>
                <w:b w:val="false"/>
                <w:i w:val="false"/>
                <w:color w:val="000000"/>
                <w:sz w:val="21"/>
              </w:rPr>
              <w:t>Energy conservation management in public institutions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MANA60005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政府采购</w:t>
            </w:r>
            <w:r>
              <w:br/>
            </w:r>
            <w:r>
              <w:rPr>
                <w:rFonts w:ascii="SimSun" w:hAnsi="SimSun"/>
                <w:b w:val="false"/>
                <w:i w:val="false"/>
                <w:color w:val="000000"/>
                <w:sz w:val="21"/>
              </w:rPr>
              <w:t>Public Procurement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灾害社会学理论与实践</w:t>
            </w:r>
            <w:r>
              <w:br/>
            </w:r>
            <w:r>
              <w:rPr>
                <w:rFonts w:ascii="SimSun" w:hAnsi="SimSun"/>
                <w:b w:val="false"/>
                <w:i w:val="false"/>
                <w:color w:val="000000"/>
                <w:sz w:val="21"/>
              </w:rPr>
              <w:t>Disaster Sociology: Theory and Practice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风险沟通理论与实践</w:t>
            </w:r>
            <w:r>
              <w:br/>
            </w:r>
            <w:r>
              <w:rPr>
                <w:rFonts w:ascii="SimSun" w:hAnsi="SimSun"/>
                <w:b w:val="false"/>
                <w:i w:val="false"/>
                <w:color w:val="000000"/>
                <w:sz w:val="21"/>
              </w:rPr>
              <w:t>Risk Communication Theory and Practice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人工智能与国家治理</w:t>
            </w:r>
            <w:r>
              <w:br/>
            </w:r>
            <w:r>
              <w:rPr>
                <w:rFonts w:ascii="SimSun" w:hAnsi="SimSun"/>
                <w:b w:val="false"/>
                <w:i w:val="false"/>
                <w:color w:val="000000"/>
                <w:sz w:val="21"/>
              </w:rPr>
              <w:t>Artificial Intelligence and National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社会科学数据分析</w:t>
            </w:r>
            <w:r>
              <w:br/>
            </w:r>
            <w:r>
              <w:rPr>
                <w:rFonts w:ascii="SimSun" w:hAnsi="SimSun"/>
                <w:b w:val="false"/>
                <w:i w:val="false"/>
                <w:color w:val="000000"/>
                <w:sz w:val="21"/>
              </w:rPr>
              <w:t>Statistical Analysis in Social Science</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POLI50007</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融合创新能力（14学分）
      </w:t>
      </w:r>
    </w:p>
    <w:p>
      <w:pPr>
        <w:spacing w:after="0"/>
        <w:ind w:left="0"/>
        <w:jc w:val="left"/>
      </w:pPr>
      <w:r>
        <w:rPr>
          <w:rFonts w:ascii="SimSun" w:hAnsi="SimSun"/>
          <w:b w:val="false"/>
          <w:i w:val="false"/>
          <w:color w:val="000000"/>
          <w:sz w:val="21"/>
        </w:rPr>
        <w:t xml:space="preserve">
       1. 按照“基础型—综合型—创新型”渐次推进、相互衔接的教学体系，在解决复杂问题的过程中培养实践能力，激发批判性思维和科研潜力。
       </w:t>
      </w:r>
      <w:r>
        <w:br/>
      </w:r>
      <w:r>
        <w:rPr>
          <w:rFonts w:ascii="SimSun" w:hAnsi="SimSun"/>
          <w:b w:val="false"/>
          <w:i w:val="false"/>
          <w:color w:val="000000"/>
          <w:sz w:val="21"/>
        </w:rPr>
        <w:t xml:space="preserve">2. 全周期的科研训练体系，在1、2年级设立前沿导论课和无学分讨论班，引导学生早进课题组，培育兴趣。
       </w:t>
      </w:r>
      <w:r>
        <w:br/>
      </w:r>
      <w:r>
        <w:rPr>
          <w:rFonts w:ascii="SimSun" w:hAnsi="SimSun"/>
          <w:b w:val="false"/>
          <w:i w:val="false"/>
          <w:color w:val="000000"/>
          <w:sz w:val="21"/>
        </w:rPr>
        <w:t xml:space="preserve">3. 多渠道支持学生参加国内国际高水平学术交流，鼓励学生参加国内国际高水平创新竞赛。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其他本科生学术研究计划</w:t>
            </w:r>
            <w:r>
              <w:br/>
            </w:r>
            <w:r>
              <w:rPr>
                <w:rFonts w:ascii="SimSun" w:hAnsi="SimSun"/>
                <w:b w:val="false"/>
                <w:i w:val="false"/>
                <w:color w:val="000000"/>
                <w:sz w:val="21"/>
              </w:rPr>
              <w:t>Other Undergraduate Academic Research Programs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实务实践训练方式之一和实务实践训练方式之二必修2选1
实务实践训练方式之一：学生在本科阶段第三学年末或第四学年初规定时间前以“队长/项目负责人”身份完成一个“中国之治”项目，并以项目调研报告为基础，继续以“队长/项目负责人”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修读认定以项目立项证明材料为准，项目能否设置负责人外成员参照学校政策安排。
实务实践训练方式之二：学生在本科阶段第三学年末或第四学年初规定时间前以“活动组织者”身份至少在1个“中国之治”、“全球之治”或“中国之治”治理案例分析大赛项目组中服务，且服务时长不少于1学年。修读认定以项目组出具的证明材料为准。此外，学生还应以“队长/项目负责人”或“项目团队成员排位前两名（除负责人外）”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学院出台相关政策，为上述竞赛活动的评审工作提供制度保障。
本科毕业论文，可用复芏计划成果为论文主要内容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研究生科研项目</w:t>
            </w:r>
            <w:r>
              <w:br/>
            </w:r>
            <w:r>
              <w:rPr>
                <w:rFonts w:ascii="SimSun" w:hAnsi="SimSun"/>
                <w:b w:val="false"/>
                <w:i w:val="false"/>
                <w:color w:val="000000"/>
                <w:sz w:val="21"/>
              </w:rPr>
              <w:t>Graduate Research Projects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本硕双导师制实务实践训练体系-硕士研究生阶段要求
硕士阶段将学生参与指导国务学院“中国之治”国情育人项目、“全球之治”世情育人项目、“中国之治”治理案例分析大赛以及相关学科竞赛列入本硕融通轨道学生必修项目。学生在硕士研究生培养阶段为至少一个本科生学科竞赛参赛队伍担任“助导”工作，辅助竞赛队伍指导教师提供全程指导，相关认定以有效参赛证明以及指导教师认可材料为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研究生学术活动</w:t>
            </w:r>
            <w:r>
              <w:br/>
            </w:r>
            <w:r>
              <w:rPr>
                <w:rFonts w:ascii="SimSun" w:hAnsi="SimSun"/>
                <w:b w:val="false"/>
                <w:i w:val="false"/>
                <w:color w:val="000000"/>
                <w:sz w:val="21"/>
              </w:rPr>
              <w:t>Graduate Academic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参照学校要求，硕士生在校期间至少听取5次学术报告，并在院系或校级甚至全国性的学术研讨会、学术沙龙或其他公开学术讨论场合作2次学术报告。并作好记录和小结，送交指导老师考核和评分。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研究生实践活动</w:t>
            </w:r>
            <w:r>
              <w:br/>
            </w:r>
            <w:r>
              <w:rPr>
                <w:rFonts w:ascii="SimSun" w:hAnsi="SimSun"/>
                <w:b w:val="false"/>
                <w:i w:val="false"/>
                <w:color w:val="000000"/>
                <w:sz w:val="21"/>
              </w:rPr>
              <w:t>Graduate Practice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参照学校要求，硕士生在校期间应参加两个星期以上的教学实践或者公共管理实践。并作好记录和小结，送交指导老师考核和评分。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硕士学位论文开题</w:t>
            </w:r>
            <w:r>
              <w:br/>
            </w:r>
            <w:r>
              <w:rPr>
                <w:rFonts w:ascii="SimSun" w:hAnsi="SimSun"/>
                <w:b w:val="false"/>
                <w:i w:val="false"/>
                <w:color w:val="000000"/>
                <w:sz w:val="21"/>
              </w:rPr>
              <w:t>Master's Thesis Proposal</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在第8学期完成，详见国务学院论文开题实施细则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硕士论文中期考核</w:t>
            </w:r>
            <w:r>
              <w:br/>
            </w:r>
            <w:r>
              <w:rPr>
                <w:rFonts w:ascii="SimSun" w:hAnsi="SimSun"/>
                <w:b w:val="false"/>
                <w:i w:val="false"/>
                <w:color w:val="000000"/>
                <w:sz w:val="21"/>
              </w:rPr>
              <w:t>Master's Thesis Mid-Term 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在第10学期完成，见国务学院中期考核实施细则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硕士学位论文预审</w:t>
            </w:r>
            <w:r>
              <w:br/>
            </w:r>
            <w:r>
              <w:rPr>
                <w:rFonts w:ascii="SimSun" w:hAnsi="SimSun"/>
                <w:b w:val="false"/>
                <w:i w:val="false"/>
                <w:color w:val="000000"/>
                <w:sz w:val="21"/>
              </w:rPr>
              <w:t>Master's Thesis Pre-Review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硕士学位论文预审由院系组织，具体参照《复旦大学博士、硕士学位论文预审办法》《复旦大学博士研究生培养分流退出实施办法》及院系相关文件规定执行。</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科研实践Ⅰ</w:t>
            </w:r>
            <w:r>
              <w:br/>
            </w:r>
            <w:r>
              <w:rPr>
                <w:rFonts w:ascii="SimSun" w:hAnsi="SimSun"/>
                <w:b w:val="false"/>
                <w:i w:val="false"/>
                <w:color w:val="000000"/>
                <w:sz w:val="21"/>
              </w:rPr>
              <w:t>Research PracticeⅠ</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POLI30065</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