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image/png" PartName="/word/media/document_image_rId8.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历史学系</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2026历史学-旅游管理双学士学位项目培养方案</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 xml:space="preserve">        复旦大学是中国最早建立旅游学科本硕博完整培养体系的院校之一，旅游学系是国内首批旅游管理硕士专业学位（MTA）授予单位和首批国家一流本科专业建设点，是文化和旅游部重点实验室建设单位和上海市高等院校旅游专业定点单位。旅游管理专业中国大学专业排名A+专业，在2024年QS世界大学学科排名中位列中国大陆第一，2025年位列全球第47名。旅游管理专业硕士（MTA）在2022年中国MTA专业学位水平评估中被评为A+。</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 xml:space="preserve">        历史学+旅游管理的双学位项目旨在培养具备深厚历史文化底蕴和扎实旅游专业知识，熟悉文化与遗产活化利用理论背景与应用场景，拥有强烈的问题意识、研究思维和实践判断能力，“知历史、懂遗产、精运营、有情怀、强创新”的文化遗产管理与旅游管理复合型专业人才。</w:t>
      </w:r>
      <w:r>
        <w:br/>
      </w:r>
      <w:r>
        <w:rPr>
          <w:rFonts w:ascii="SimSun" w:hAnsi="SimSun"/>
          <w:b w:val="false"/>
          <w:i w:val="false"/>
          <w:color w:val="000000"/>
          <w:sz w:val="21"/>
        </w:rPr>
        <w:t xml:space="preserve">        要求学生掌握历史学、旅游学、管理学、文化遗产管理学的基本原理，熟悉文化遗产与旅游领域的研究方法，了解文旅行业动态，熟练掌握一至二门外语，具有社会责任感、国际视野、创新精神，拥有较强的科研能力与分析、解决产业问题的能力，能胜任文旅产业发展、文化遗产保护利用的科研与战略管理相关工作。</w:t>
      </w:r>
    </w:p>
    <w:p>
      <w:pPr>
        <w:spacing w:after="0"/>
        <w:ind w:left="0"/>
        <w:jc w:val="left"/>
      </w:pPr>
      <w:r>
        <w:rPr>
          <w:rFonts w:ascii="SimSun" w:hAnsi="SimSun"/>
          <w:b/>
          <w:i w:val="false"/>
          <w:color w:val="000000"/>
          <w:sz w:val="24"/>
        </w:rPr>
        <w:t xml:space="preserve">
       三.    基本要求
      </w:t>
      </w:r>
    </w:p>
    <w:p>
      <w:pPr>
        <w:spacing w:after="0"/>
        <w:ind w:left="0"/>
        <w:jc w:val="left"/>
      </w:pPr>
      <w:r>
        <w:drawing>
          <wp:inline distT="0" distB="0" distL="0" distR="0">
            <wp:extent cx="5732145" cy="1904281"/>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1904281"/>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r>
        <w:rPr>
          <w:rFonts w:ascii="SimSun" w:hAnsi="SimSun"/>
          <w:b w:val="false"/>
          <w:i w:val="false"/>
          <w:color w:val="000000"/>
          <w:sz w:val="21"/>
        </w:rPr>
        <w:t xml:space="preserve">        1.修业年限：4年（类型：R本科、□本硕、□本博）</w:t>
      </w:r>
    </w:p>
    <w:p>
      <w:pPr>
        <w:spacing w:after="0"/>
        <w:ind w:left="0"/>
        <w:jc w:val="left"/>
      </w:pPr>
      <w:r>
        <w:rPr>
          <w:rFonts w:ascii="SimSun" w:hAnsi="SimSun"/>
          <w:b w:val="false"/>
          <w:i w:val="false"/>
          <w:color w:val="000000"/>
          <w:sz w:val="21"/>
        </w:rPr>
        <w:t xml:space="preserve">        2. 学位授予说明：</w:t>
      </w:r>
    </w:p>
    <w:p>
      <w:pPr>
        <w:spacing w:after="0"/>
        <w:ind w:left="0"/>
        <w:jc w:val="left"/>
      </w:pPr>
      <w:r>
        <w:drawing>
          <wp:inline distT="0" distB="0" distL="0" distR="0">
            <wp:extent cx="5732145" cy="1687052"/>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1687052"/>
                    </a:xfrm>
                    <a:prstGeom prst="rect">
                      <a:avLst/>
                    </a:prstGeom>
                  </pic:spPr>
                </pic:pic>
              </a:graphicData>
            </a:graphic>
          </wp:inline>
        </w:drawing>
      </w:r>
    </w:p>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5732145" cy="2495169"/>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2495169"/>
                    </a:xfrm>
                    <a:prstGeom prst="rect">
                      <a:avLst/>
                    </a:prstGeom>
                  </pic:spPr>
                </pic:pic>
              </a:graphicData>
            </a:graphic>
          </wp:inline>
        </w:drawing>
      </w:r>
    </w:p>
    <w:p>
      <w:pPr>
        <w:spacing w:after="0"/>
        <w:ind w:left="0"/>
        <w:jc w:val="left"/>
      </w:pPr>
      <w:r>
        <w:rPr>
          <w:rFonts w:ascii="SimSun" w:hAnsi="SimSun"/>
          <w:b w:val="false"/>
          <w:i w:val="false"/>
          <w:color w:val="000000"/>
          <w:sz w:val="21"/>
        </w:rPr>
        <w:t xml:space="preserve">        1、专业进阶路径：32学分</w:t>
      </w:r>
    </w:p>
    <w:p>
      <w:pPr>
        <w:spacing w:after="0"/>
        <w:ind w:left="0"/>
        <w:jc w:val="left"/>
      </w:pPr>
      <w:r>
        <w:rPr>
          <w:rFonts w:ascii="SimSun" w:hAnsi="SimSun"/>
          <w:b w:val="false"/>
          <w:i w:val="false"/>
          <w:color w:val="000000"/>
          <w:sz w:val="21"/>
        </w:rPr>
        <w:t xml:space="preserve">        本路径学生需要完成168学分（含实践学分不低于26学分；含美育学分不少于2学分，其中至少在“美学和艺术史论类”或“艺术鉴赏和评论类”课程中修读1学分，并至少参与一项艺术实践活动；劳动教育不少于32学时，并满足劳动周教育要求），包括通识教育课程38学分、专业培养课程91学分、专业进阶模块修读32学分、融合创新能力模块7学分。</w:t>
      </w:r>
    </w:p>
    <w:p>
      <w:pPr>
        <w:spacing w:after="0"/>
        <w:ind w:left="0"/>
        <w:jc w:val="left"/>
      </w:pPr>
      <w:r>
        <w:rPr>
          <w:rFonts w:ascii="SimSun" w:hAnsi="SimSun"/>
          <w:b w:val="false"/>
          <w:i w:val="false"/>
          <w:color w:val="000000"/>
          <w:sz w:val="21"/>
        </w:rPr>
        <w:t xml:space="preserve">        2、跨学科学发展路径：47学分</w:t>
      </w:r>
    </w:p>
    <w:p>
      <w:pPr>
        <w:spacing w:after="0"/>
        <w:ind w:left="0"/>
        <w:jc w:val="left"/>
      </w:pPr>
      <w:r>
        <w:rPr>
          <w:rFonts w:ascii="SimSun" w:hAnsi="SimSun"/>
          <w:b w:val="false"/>
          <w:i w:val="false"/>
          <w:color w:val="000000"/>
          <w:sz w:val="21"/>
        </w:rPr>
        <w:t xml:space="preserve">        本路径学生需要完成183学分，包括通识教育课程38学分、专业培养课程91学分、融合创新能力模块7学分、修读本专业进阶课程32学分+1个跨学科微专业（学程）15学分。</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 xml:space="preserve">        4年级结束时，如达到学士学位要求者授予历史学学士和管理学学士双学位。  </w:t>
      </w:r>
    </w:p>
    <w:p>
      <w:pPr>
        <w:spacing w:after="0"/>
        <w:ind w:left="0"/>
        <w:jc w:val="left"/>
      </w:pPr>
      <w:r>
        <w:rPr>
          <w:rFonts w:ascii="SimSun" w:hAnsi="SimSun"/>
          <w:b w:val="false"/>
          <w:i w:val="false"/>
          <w:color w:val="000000"/>
          <w:sz w:val="21"/>
        </w:rPr>
        <w:t xml:space="preserve">        （1）修满规定的学分，达到本科教学培养方案规定的各项要求。</w:t>
      </w:r>
    </w:p>
    <w:p>
      <w:pPr>
        <w:spacing w:after="0"/>
        <w:ind w:left="0"/>
        <w:jc w:val="left"/>
      </w:pPr>
      <w:r>
        <w:rPr>
          <w:rFonts w:ascii="SimSun" w:hAnsi="SimSun"/>
          <w:b w:val="false"/>
          <w:i w:val="false"/>
          <w:color w:val="000000"/>
          <w:sz w:val="21"/>
        </w:rPr>
        <w:t xml:space="preserve">        （2）以符合学生毕业时所在专业教学培养方案规定的所有课程的有效成绩为准计算平均绩点，且此平均绩点大于或等于2.0。</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2691924"/>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2145" cy="2691924"/>
                    </a:xfrm>
                    <a:prstGeom prst="rect">
                      <a:avLst/>
                    </a:prstGeom>
                  </pic:spPr>
                </pic:pic>
              </a:graphicData>
            </a:graphic>
          </wp:inline>
        </w:drawing>
      </w:r>
    </w:p>
    <w:p>
      <w:pPr>
        <w:spacing w:after="0"/>
        <w:ind w:left="0"/>
        <w:jc w:val="left"/>
      </w:pPr>
      <w:r>
        <w:rPr>
          <w:rFonts w:ascii="SimSun" w:hAnsi="SimSun"/>
          <w:b w:val="false"/>
          <w:i w:val="false"/>
          <w:color w:val="000000"/>
          <w:sz w:val="21"/>
        </w:rPr>
        <w:t xml:space="preserve">        1.课程体系</w:t>
      </w:r>
    </w:p>
    <w:p>
      <w:pPr>
        <w:spacing w:after="0"/>
        <w:ind w:left="0"/>
        <w:jc w:val="left"/>
      </w:pPr>
      <w:r>
        <w:rPr>
          <w:rFonts w:ascii="SimSun" w:hAnsi="SimSun"/>
          <w:b w:val="false"/>
          <w:i w:val="false"/>
          <w:color w:val="000000"/>
          <w:sz w:val="21"/>
        </w:rPr>
        <w:t xml:space="preserve">        以多学科融合的视角建立了历史学与旅游管理双学位方向的专业课程体系，包括侧重不同、难度逐级提升的两大专业进阶模块。</w:t>
      </w:r>
    </w:p>
    <w:p>
      <w:pPr>
        <w:spacing w:after="0"/>
        <w:ind w:left="0"/>
        <w:jc w:val="left"/>
      </w:pPr>
      <w:r>
        <w:rPr>
          <w:rFonts w:ascii="SimSun" w:hAnsi="SimSun"/>
          <w:b w:val="false"/>
          <w:i w:val="false"/>
          <w:color w:val="000000"/>
          <w:sz w:val="21"/>
        </w:rPr>
        <w:t xml:space="preserve">        2.科研训练体系</w:t>
      </w:r>
    </w:p>
    <w:p>
      <w:pPr>
        <w:spacing w:after="0"/>
        <w:ind w:left="0"/>
        <w:jc w:val="left"/>
      </w:pPr>
      <w:r>
        <w:rPr>
          <w:rFonts w:ascii="SimSun" w:hAnsi="SimSun"/>
          <w:b w:val="false"/>
          <w:i w:val="false"/>
          <w:color w:val="000000"/>
          <w:sz w:val="21"/>
        </w:rPr>
        <w:t xml:space="preserve">        构建“导师引导—方法训练—田野调查—实践调研—项目研究—毕业论文”全周期科研训练体系，1年级入学即配备班级导师，全程提供学术指导，从2年级开始给每位本科生配备学业导师／拔尖导师，鼓励师生共创；第4学期暑期安排文化遗产田野调查、第5-6学期安排教学实习和实践调研，通过复芏计划（FDUROP）（䇹政、望道、登辉和曦源）等项目引导学生在“做中学、学中悟、悟中创”，激发学生创新志趣。</w:t>
      </w: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 xml:space="preserve">        备注：每学期选修学分不得超过32学分。</w:t>
      </w:r>
    </w:p>
    <w:p>
      <w:pPr>
        <w:spacing w:after="0"/>
        <w:ind w:left="0"/>
        <w:jc w:val="left"/>
      </w:pPr>
      <w:r>
        <w:rPr>
          <w:rFonts w:ascii="SimSun" w:hAnsi="SimSun"/>
          <w:b/>
          <w:i w:val="false"/>
          <w:color w:val="000000"/>
          <w:sz w:val="21"/>
        </w:rPr>
        <w:t xml:space="preserve">
       (一) 通识教育课程（38学分）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通识教育核心课程（23学分）
      </w:t>
      </w:r>
    </w:p>
    <w:p>
      <w:pPr>
        <w:spacing w:after="0"/>
        <w:ind w:left="0"/>
        <w:jc w:val="left"/>
      </w:pPr>
      <w:r>
        <w:rPr>
          <w:rFonts w:ascii="SimSun" w:hAnsi="SimSun"/>
          <w:b w:val="false"/>
          <w:i w:val="false"/>
          <w:color w:val="000000"/>
          <w:sz w:val="21"/>
        </w:rPr>
        <w:t xml:space="preserve">
       要求修读23学分，含思想政治理论课16学分，七大模块课程6学分（美育学分不少于2学分），大学生国家安全教育1学分。
      </w:t>
      </w:r>
    </w:p>
    <w:p>
      <w:pPr>
        <w:spacing w:after="0"/>
        <w:ind w:left="0"/>
        <w:jc w:val="left"/>
      </w:pPr>
      <w:r>
        <w:rPr>
          <w:rFonts w:ascii="SimSun" w:hAnsi="SimSun"/>
          <w:b/>
          <w:i w:val="false"/>
          <w:color w:val="000000"/>
          <w:sz w:val="21"/>
        </w:rPr>
        <w:t xml:space="preserve">
       2.  通识教育专项教育课程（15学分）
      </w:t>
      </w:r>
    </w:p>
    <w:p>
      <w:pPr>
        <w:spacing w:after="0"/>
        <w:ind w:left="0"/>
        <w:jc w:val="left"/>
      </w:pPr>
      <w:r>
        <w:rPr>
          <w:rFonts w:ascii="SimSun" w:hAnsi="SimSun"/>
          <w:b/>
          <w:i w:val="false"/>
          <w:color w:val="000000"/>
          <w:sz w:val="21"/>
        </w:rPr>
        <w:t xml:space="preserve">
       (二) 专业培养课程（91学分）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学科基础课程（26学分）
      </w:t>
      </w:r>
    </w:p>
    <w:p>
      <w:pPr>
        <w:spacing w:after="0"/>
        <w:ind w:left="0"/>
        <w:jc w:val="left"/>
      </w:pPr>
      <w:r>
        <w:rPr>
          <w:rFonts w:ascii="SimSun" w:hAnsi="SimSun"/>
          <w:b w:val="false"/>
          <w:i w:val="false"/>
          <w:color w:val="000000"/>
          <w:sz w:val="21"/>
        </w:rPr>
        <w:t xml:space="preserve">
       学生应在学科基础课程中社会科学课程修满26学分，含“中国文学经典”，“微积分B”，“大学数学II”，“管理学导论”，“微观经济学”，“宏观经济学”，“会计学”、“哲学导论”，“逻辑学”（其中“哲学导论”和“逻辑学”二选一）。
      </w:t>
      </w:r>
    </w:p>
    <w:p>
      <w:pPr>
        <w:spacing w:after="0"/>
        <w:ind w:left="0"/>
        <w:jc w:val="left"/>
      </w:pPr>
      <w:r>
        <w:rPr>
          <w:rFonts w:ascii="SimSun" w:hAnsi="SimSun"/>
          <w:b/>
          <w:i w:val="false"/>
          <w:color w:val="000000"/>
          <w:sz w:val="21"/>
        </w:rPr>
        <w:t xml:space="preserve">
       (1) 社会科学基础课程（20学分）
      </w:t>
      </w:r>
    </w:p>
    <w:p>
      <w:pPr>
        <w:spacing w:after="0"/>
        <w:ind w:left="0"/>
        <w:jc w:val="left"/>
      </w:pPr>
      <w:r>
        <w:rPr>
          <w:rFonts w:ascii="SimSun" w:hAnsi="SimSun"/>
          <w:b/>
          <w:i w:val="false"/>
          <w:color w:val="000000"/>
          <w:sz w:val="21"/>
        </w:rPr>
        <w:t xml:space="preserve">
       a) 学科导论类（11学分）
      </w:t>
      </w:r>
    </w:p>
    <w:tbl>
      <w:tblPr>
        <w:tblW w:w="0" w:type="auto"/>
        <w:tblCellSpacing w:w="0" w:type="auto"/>
        <w:tblBorders>
          <w:top w:val="none"/>
          <w:left w:val="none"/>
          <w:bottom w:val="none"/>
          <w:right w:val="none"/>
          <w:insideH w:val="none"/>
          <w:insideV w:val="none"/>
        </w:tblBorders>
      </w:tblPr>
      <w:tblGrid>
        <w:gridCol w:w="3208"/>
        <w:gridCol w:w="801"/>
        <w:gridCol w:w="801"/>
        <w:gridCol w:w="1123"/>
        <w:gridCol w:w="1764"/>
        <w:gridCol w:w="802"/>
        <w:gridCol w:w="802"/>
        <w:gridCol w:w="802"/>
        <w:gridCol w:w="802"/>
        <w:gridCol w:w="1123"/>
        <w:gridCol w:w="1606"/>
      </w:tblGrid>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会计学</w:t>
            </w:r>
            <w:r>
              <w:br/>
            </w:r>
            <w:r>
              <w:rPr>
                <w:rFonts w:ascii="SimSun" w:hAnsi="SimSun"/>
                <w:b w:val="false"/>
                <w:i w:val="false"/>
                <w:color w:val="000000"/>
                <w:sz w:val="21"/>
              </w:rPr>
              <w:t>Accounting</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BA10003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0.75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微观经济学</w:t>
            </w:r>
            <w:r>
              <w:br/>
            </w:r>
            <w:r>
              <w:rPr>
                <w:rFonts w:ascii="SimSun" w:hAnsi="SimSun"/>
                <w:b w:val="false"/>
                <w:i w:val="false"/>
                <w:color w:val="000000"/>
                <w:sz w:val="21"/>
              </w:rPr>
              <w:t>Microeconomics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ECON20003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宏观经济学</w:t>
            </w:r>
            <w:r>
              <w:br/>
            </w:r>
            <w:r>
              <w:rPr>
                <w:rFonts w:ascii="SimSun" w:hAnsi="SimSun"/>
                <w:b w:val="false"/>
                <w:i w:val="false"/>
                <w:color w:val="000000"/>
                <w:sz w:val="21"/>
              </w:rPr>
              <w:t>Macroeconomics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ECON20004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管理学导论</w:t>
            </w:r>
            <w:r>
              <w:br/>
            </w:r>
            <w:r>
              <w:rPr>
                <w:rFonts w:ascii="SimSun" w:hAnsi="SimSun"/>
                <w:b w:val="false"/>
                <w:i w:val="false"/>
                <w:color w:val="000000"/>
                <w:sz w:val="21"/>
              </w:rPr>
              <w:t>Introduction to Management</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BA10006</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数学基础课（9学分）
      </w:t>
      </w:r>
    </w:p>
    <w:tbl>
      <w:tblPr>
        <w:tblW w:w="0" w:type="auto"/>
        <w:tblCellSpacing w:w="0" w:type="auto"/>
        <w:tblBorders>
          <w:top w:val="none"/>
          <w:left w:val="none"/>
          <w:bottom w:val="none"/>
          <w:right w:val="none"/>
          <w:insideH w:val="none"/>
          <w:insideV w:val="none"/>
        </w:tblBorders>
      </w:tblPr>
      <w:tblGrid>
        <w:gridCol w:w="3191"/>
        <w:gridCol w:w="797"/>
        <w:gridCol w:w="806"/>
        <w:gridCol w:w="1117"/>
        <w:gridCol w:w="1818"/>
        <w:gridCol w:w="797"/>
        <w:gridCol w:w="797"/>
        <w:gridCol w:w="798"/>
        <w:gridCol w:w="798"/>
        <w:gridCol w:w="1117"/>
        <w:gridCol w:w="1598"/>
      </w:tblGrid>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微积分B</w:t>
            </w:r>
            <w:r>
              <w:br/>
            </w:r>
            <w:r>
              <w:rPr>
                <w:rFonts w:ascii="SimSun" w:hAnsi="SimSun"/>
                <w:b w:val="false"/>
                <w:i w:val="false"/>
                <w:color w:val="000000"/>
                <w:sz w:val="21"/>
              </w:rPr>
              <w:t>Calculus B</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MATH10028</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7"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大学数学Ⅱ</w:t>
            </w:r>
            <w:r>
              <w:br/>
            </w:r>
            <w:r>
              <w:rPr>
                <w:rFonts w:ascii="SimSun" w:hAnsi="SimSun"/>
                <w:b w:val="false"/>
                <w:i w:val="false"/>
                <w:color w:val="000000"/>
                <w:sz w:val="21"/>
              </w:rPr>
              <w:t>Comprehensive University Mathematics Ⅱ</w:t>
            </w:r>
          </w:p>
        </w:tc>
        <w:tc>
          <w:tcPr>
            <w:tcW w:w="79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MATH10030</w:t>
            </w:r>
          </w:p>
        </w:tc>
        <w:tc>
          <w:tcPr>
            <w:tcW w:w="79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人文基础课程（6学分）
      </w:t>
      </w:r>
    </w:p>
    <w:tbl>
      <w:tblPr>
        <w:tblW w:w="0" w:type="auto"/>
        <w:tblCellSpacing w:w="0" w:type="auto"/>
        <w:tblBorders>
          <w:top w:val="none"/>
          <w:left w:val="none"/>
          <w:bottom w:val="none"/>
          <w:right w:val="none"/>
          <w:insideH w:val="none"/>
          <w:insideV w:val="none"/>
        </w:tblBorders>
      </w:tblPr>
      <w:tblGrid>
        <w:gridCol w:w="2054"/>
        <w:gridCol w:w="2738"/>
        <w:gridCol w:w="684"/>
        <w:gridCol w:w="684"/>
        <w:gridCol w:w="958"/>
        <w:gridCol w:w="1451"/>
        <w:gridCol w:w="684"/>
        <w:gridCol w:w="684"/>
        <w:gridCol w:w="684"/>
        <w:gridCol w:w="684"/>
        <w:gridCol w:w="958"/>
        <w:gridCol w:w="1371"/>
      </w:tblGrid>
      <w:tr>
        <w:trPr>
          <w:trHeight w:val="45" w:hRule="atLeast"/>
        </w:trPr>
        <w:tc>
          <w:tcPr>
            <w:tcW w:w="20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54"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基础理论课程（跨院系必修）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哲学导论</w:t>
            </w:r>
            <w:r>
              <w:br/>
            </w:r>
            <w:r>
              <w:rPr>
                <w:rFonts w:ascii="SimSun" w:hAnsi="SimSun"/>
                <w:b w:val="false"/>
                <w:i w:val="false"/>
                <w:color w:val="000000"/>
                <w:sz w:val="21"/>
              </w:rPr>
              <w:t>Introduction to Philosophy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组01:二选一 </w:t>
            </w:r>
          </w:p>
        </w:tc>
      </w:tr>
      <w:tr>
        <w:trPr>
          <w:trHeight w:val="45" w:hRule="atLeast"/>
        </w:trPr>
        <w:tc>
          <w:tcPr>
            <w:tcW w:w="0" w:type="auto"/>
            <w:vMerge/>
            <w:tcBorders>
              <w:top w:val="nil"/>
              <w:left w:val="single" w:color="000000" w:sz="8"/>
              <w:bottom w:val="single" w:color="000000" w:sz="8"/>
            </w:tcBorders>
          </w:tcPr>
          <w:p/>
        </w:tc>
        <w:tc>
          <w:tcPr>
            <w:tcW w:w="27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逻辑学</w:t>
            </w:r>
            <w:r>
              <w:br/>
            </w:r>
            <w:r>
              <w:rPr>
                <w:rFonts w:ascii="SimSun" w:hAnsi="SimSun"/>
                <w:b w:val="false"/>
                <w:i w:val="false"/>
                <w:color w:val="000000"/>
                <w:sz w:val="21"/>
              </w:rPr>
              <w:t>Logic</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PHIL10003</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bl>
    <w:p>
      <w:pPr>
        <w:spacing w:after="0"/>
        <w:ind w:left="0"/>
        <w:jc w:val="left"/>
      </w:pPr>
      <w:r>
        <w:rPr>
          <w:rFonts w:ascii="SimSun" w:hAnsi="SimSun"/>
          <w:b/>
          <w:i w:val="false"/>
          <w:color w:val="000000"/>
          <w:sz w:val="21"/>
        </w:rPr>
        <w:t xml:space="preserve">
       2.  专业核心教育课程（65学分）
      </w:t>
      </w:r>
    </w:p>
    <w:p>
      <w:pPr>
        <w:spacing w:after="0"/>
        <w:ind w:left="0"/>
        <w:jc w:val="left"/>
      </w:pPr>
      <w:r>
        <w:rPr>
          <w:rFonts w:ascii="SimSun" w:hAnsi="SimSun"/>
          <w:b/>
          <w:i w:val="false"/>
          <w:color w:val="000000"/>
          <w:sz w:val="21"/>
        </w:rPr>
        <w:t xml:space="preserve">
       (1) A组（33学分）
      </w:t>
      </w:r>
    </w:p>
    <w:tbl>
      <w:tblPr>
        <w:tblW w:w="0" w:type="auto"/>
        <w:tblCellSpacing w:w="0" w:type="auto"/>
        <w:tblBorders>
          <w:top w:val="none"/>
          <w:left w:val="none"/>
          <w:bottom w:val="none"/>
          <w:right w:val="none"/>
          <w:insideH w:val="none"/>
          <w:insideV w:val="none"/>
        </w:tblBorders>
      </w:tblPr>
      <w:tblGrid>
        <w:gridCol w:w="3205"/>
        <w:gridCol w:w="800"/>
        <w:gridCol w:w="800"/>
        <w:gridCol w:w="1122"/>
        <w:gridCol w:w="1778"/>
        <w:gridCol w:w="801"/>
        <w:gridCol w:w="801"/>
        <w:gridCol w:w="801"/>
        <w:gridCol w:w="801"/>
        <w:gridCol w:w="1122"/>
        <w:gridCol w:w="1603"/>
      </w:tblGrid>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中国古代史（上）</w:t>
            </w:r>
            <w:r>
              <w:br/>
            </w:r>
            <w:r>
              <w:rPr>
                <w:rFonts w:ascii="SimSun" w:hAnsi="SimSun"/>
                <w:b w:val="false"/>
                <w:i w:val="false"/>
                <w:color w:val="000000"/>
                <w:sz w:val="21"/>
              </w:rPr>
              <w:t>History of Ancient China I</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HIST10007</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中国古代史（下）</w:t>
            </w:r>
            <w:r>
              <w:br/>
            </w:r>
            <w:r>
              <w:rPr>
                <w:rFonts w:ascii="SimSun" w:hAnsi="SimSun"/>
                <w:b w:val="false"/>
                <w:i w:val="false"/>
                <w:color w:val="000000"/>
                <w:sz w:val="21"/>
              </w:rPr>
              <w:t>History of Ancient Chinese II</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HIST10008</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15世纪以前的世界</w:t>
            </w:r>
            <w:r>
              <w:br/>
            </w:r>
            <w:r>
              <w:rPr>
                <w:rFonts w:ascii="SimSun" w:hAnsi="SimSun"/>
                <w:b w:val="false"/>
                <w:i w:val="false"/>
                <w:color w:val="000000"/>
                <w:sz w:val="21"/>
              </w:rPr>
              <w:t>The World before 1500 CE</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HIST10009</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世界近代史</w:t>
            </w:r>
            <w:r>
              <w:br/>
            </w:r>
            <w:r>
              <w:rPr>
                <w:rFonts w:ascii="SimSun" w:hAnsi="SimSun"/>
                <w:b w:val="false"/>
                <w:i w:val="false"/>
                <w:color w:val="000000"/>
                <w:sz w:val="21"/>
              </w:rPr>
              <w:t>History of Modern World</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HIST20010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中国近现代史（上）</w:t>
            </w:r>
            <w:r>
              <w:br/>
            </w:r>
            <w:r>
              <w:rPr>
                <w:rFonts w:ascii="SimSun" w:hAnsi="SimSun"/>
                <w:b w:val="false"/>
                <w:i w:val="false"/>
                <w:color w:val="000000"/>
                <w:sz w:val="21"/>
              </w:rPr>
              <w:t>History of Modern China I</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HIST20008</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中国近现代史（中）</w:t>
            </w:r>
            <w:r>
              <w:br/>
            </w:r>
            <w:r>
              <w:rPr>
                <w:rFonts w:ascii="SimSun" w:hAnsi="SimSun"/>
                <w:b w:val="false"/>
                <w:i w:val="false"/>
                <w:color w:val="000000"/>
                <w:sz w:val="21"/>
              </w:rPr>
              <w:t>History of Modern China II</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HIST20009</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中国近现代史（下）</w:t>
            </w:r>
            <w:r>
              <w:br/>
            </w:r>
            <w:r>
              <w:rPr>
                <w:rFonts w:ascii="SimSun" w:hAnsi="SimSun"/>
                <w:b w:val="false"/>
                <w:i w:val="false"/>
                <w:color w:val="000000"/>
                <w:sz w:val="21"/>
              </w:rPr>
              <w:t>History of Modern China III</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HIST30084</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20世纪的世界</w:t>
            </w:r>
            <w:r>
              <w:br/>
            </w:r>
            <w:r>
              <w:rPr>
                <w:rFonts w:ascii="SimSun" w:hAnsi="SimSun"/>
                <w:b w:val="false"/>
                <w:i w:val="false"/>
                <w:color w:val="000000"/>
                <w:sz w:val="21"/>
              </w:rPr>
              <w:t>World in the 20th Century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HIST20007</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中国历史地理概论</w:t>
            </w:r>
            <w:r>
              <w:br/>
            </w:r>
            <w:r>
              <w:rPr>
                <w:rFonts w:ascii="SimSun" w:hAnsi="SimSun"/>
                <w:b w:val="false"/>
                <w:i w:val="false"/>
                <w:color w:val="000000"/>
                <w:sz w:val="21"/>
              </w:rPr>
              <w:t>Historical Geography of China</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HIST30009</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考古学导论</w:t>
            </w:r>
            <w:r>
              <w:br/>
            </w:r>
            <w:r>
              <w:rPr>
                <w:rFonts w:ascii="SimSun" w:hAnsi="SimSun"/>
                <w:b w:val="false"/>
                <w:i w:val="false"/>
                <w:color w:val="000000"/>
                <w:sz w:val="21"/>
              </w:rPr>
              <w:t>Introduction to Archaeology</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7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ARCH10001</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B组（14学分）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文化遗产理论与方法</w:t>
            </w:r>
            <w:r>
              <w:br/>
            </w:r>
            <w:r>
              <w:rPr>
                <w:rFonts w:ascii="SimSun" w:hAnsi="SimSun"/>
                <w:b w:val="false"/>
                <w:i w:val="false"/>
                <w:color w:val="000000"/>
                <w:sz w:val="21"/>
              </w:rPr>
              <w:t>Theories and Approaches in Cultural Heritage Management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物质文化遗产保护与旅游利用</w:t>
            </w:r>
            <w:r>
              <w:br/>
            </w:r>
            <w:r>
              <w:rPr>
                <w:rFonts w:ascii="SimSun" w:hAnsi="SimSun"/>
                <w:b w:val="false"/>
                <w:i w:val="false"/>
                <w:color w:val="000000"/>
                <w:sz w:val="21"/>
              </w:rPr>
              <w:t>Tangible Cultural Heritage：Conservation and Tourism-wise Utilization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BA20004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文化遗产活化利用案例研究</w:t>
            </w:r>
            <w:r>
              <w:br/>
            </w:r>
            <w:r>
              <w:rPr>
                <w:rFonts w:ascii="SimSun" w:hAnsi="SimSun"/>
                <w:b w:val="false"/>
                <w:i w:val="false"/>
                <w:color w:val="000000"/>
                <w:sz w:val="21"/>
              </w:rPr>
              <w:t>Case Studies in Cultural Heritage Revitalization and Utilization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BA20002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社会研究方法</w:t>
            </w:r>
            <w:r>
              <w:br/>
            </w:r>
            <w:r>
              <w:rPr>
                <w:rFonts w:ascii="SimSun" w:hAnsi="SimSun"/>
                <w:b w:val="false"/>
                <w:i w:val="false"/>
                <w:color w:val="000000"/>
                <w:sz w:val="21"/>
              </w:rPr>
              <w:t>Approaches to Social Research</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BA20008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数字化与智慧旅游</w:t>
            </w:r>
            <w:r>
              <w:br/>
            </w:r>
            <w:r>
              <w:rPr>
                <w:rFonts w:ascii="SimSun" w:hAnsi="SimSun"/>
                <w:b w:val="false"/>
                <w:i w:val="false"/>
                <w:color w:val="000000"/>
                <w:sz w:val="21"/>
              </w:rPr>
              <w:t>Digitalization and Smart Tourism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BA20003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旅游人类学</w:t>
            </w:r>
            <w:r>
              <w:br/>
            </w:r>
            <w:r>
              <w:rPr>
                <w:rFonts w:ascii="SimSun" w:hAnsi="SimSun"/>
                <w:b w:val="false"/>
                <w:i w:val="false"/>
                <w:color w:val="000000"/>
                <w:sz w:val="21"/>
              </w:rPr>
              <w:t>Anthropology of Tourism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BA30099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文化与旅游地理学</w:t>
            </w:r>
            <w:r>
              <w:br/>
            </w:r>
            <w:r>
              <w:rPr>
                <w:rFonts w:ascii="SimSun" w:hAnsi="SimSun"/>
                <w:b w:val="false"/>
                <w:i w:val="false"/>
                <w:color w:val="000000"/>
                <w:sz w:val="21"/>
              </w:rPr>
              <w:t>Cultural and Tourism Geography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BA20005</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(3) C组（18学分）
      </w:t>
      </w:r>
    </w:p>
    <w:tbl>
      <w:tblPr>
        <w:tblW w:w="0" w:type="auto"/>
        <w:tblCellSpacing w:w="0" w:type="auto"/>
        <w:tblBorders>
          <w:top w:val="none"/>
          <w:left w:val="none"/>
          <w:bottom w:val="none"/>
          <w:right w:val="none"/>
          <w:insideH w:val="none"/>
          <w:insideV w:val="none"/>
        </w:tblBorders>
      </w:tblPr>
      <w:tblGrid>
        <w:gridCol w:w="3246"/>
        <w:gridCol w:w="811"/>
        <w:gridCol w:w="811"/>
        <w:gridCol w:w="1136"/>
        <w:gridCol w:w="1623"/>
        <w:gridCol w:w="811"/>
        <w:gridCol w:w="811"/>
        <w:gridCol w:w="811"/>
        <w:gridCol w:w="811"/>
        <w:gridCol w:w="1137"/>
        <w:gridCol w:w="1626"/>
      </w:tblGrid>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旅游学原理</w:t>
            </w:r>
            <w:r>
              <w:br/>
            </w:r>
            <w:r>
              <w:rPr>
                <w:rFonts w:ascii="SimSun" w:hAnsi="SimSun"/>
                <w:b w:val="false"/>
                <w:i w:val="false"/>
                <w:color w:val="000000"/>
                <w:sz w:val="21"/>
              </w:rPr>
              <w:t>Tourism Principles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BA10005</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旅游业投资学</w:t>
            </w:r>
            <w:r>
              <w:br/>
            </w:r>
            <w:r>
              <w:rPr>
                <w:rFonts w:ascii="SimSun" w:hAnsi="SimSun"/>
                <w:b w:val="false"/>
                <w:i w:val="false"/>
                <w:color w:val="000000"/>
                <w:sz w:val="21"/>
              </w:rPr>
              <w:t>Tourism Sector Investment</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BA30095</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旅游营销管理</w:t>
            </w:r>
            <w:r>
              <w:br/>
            </w:r>
            <w:r>
              <w:rPr>
                <w:rFonts w:ascii="SimSun" w:hAnsi="SimSun"/>
                <w:b w:val="false"/>
                <w:i w:val="false"/>
                <w:color w:val="000000"/>
                <w:sz w:val="21"/>
              </w:rPr>
              <w:t>Tourism Marketing Management</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BA30103</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活动策划与组织</w:t>
            </w:r>
            <w:r>
              <w:br/>
            </w:r>
            <w:r>
              <w:rPr>
                <w:rFonts w:ascii="SimSun" w:hAnsi="SimSun"/>
                <w:b w:val="false"/>
                <w:i w:val="false"/>
                <w:color w:val="000000"/>
                <w:sz w:val="21"/>
              </w:rPr>
              <w:t>Event Planning and Organizing</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BA30100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旅游目的地管理</w:t>
            </w:r>
            <w:r>
              <w:br/>
            </w:r>
            <w:r>
              <w:rPr>
                <w:rFonts w:ascii="SimSun" w:hAnsi="SimSun"/>
                <w:b w:val="false"/>
                <w:i w:val="false"/>
                <w:color w:val="000000"/>
                <w:sz w:val="21"/>
              </w:rPr>
              <w:t>Destination Management</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BA30083</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旅游消费者行为</w:t>
            </w:r>
            <w:r>
              <w:br/>
            </w:r>
            <w:r>
              <w:rPr>
                <w:rFonts w:ascii="SimSun" w:hAnsi="SimSun"/>
                <w:b w:val="false"/>
                <w:i w:val="false"/>
                <w:color w:val="000000"/>
                <w:sz w:val="21"/>
              </w:rPr>
              <w:t>Consumer Behavior in Travel and Tourism</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BA20017</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旅游经济学</w:t>
            </w:r>
            <w:r>
              <w:br/>
            </w:r>
            <w:r>
              <w:rPr>
                <w:rFonts w:ascii="SimSun" w:hAnsi="SimSun"/>
                <w:b w:val="false"/>
                <w:i w:val="false"/>
                <w:color w:val="000000"/>
                <w:sz w:val="21"/>
              </w:rPr>
              <w:t>Tourism Economics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BA30067</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旅游英语</w:t>
            </w:r>
            <w:r>
              <w:br/>
            </w:r>
            <w:r>
              <w:rPr>
                <w:rFonts w:ascii="SimSun" w:hAnsi="SimSun"/>
                <w:b w:val="false"/>
                <w:i w:val="false"/>
                <w:color w:val="000000"/>
                <w:sz w:val="21"/>
              </w:rPr>
              <w:t>English for Tourism and Hospitality</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BA20018</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旅游法规</w:t>
            </w:r>
            <w:r>
              <w:br/>
            </w:r>
            <w:r>
              <w:rPr>
                <w:rFonts w:ascii="SimSun" w:hAnsi="SimSun"/>
                <w:b w:val="false"/>
                <w:i w:val="false"/>
                <w:color w:val="000000"/>
                <w:sz w:val="21"/>
              </w:rPr>
              <w:t>Tourism Law</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BA20015</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包括专业进阶路径、跨学科发展路径，要求在院系专业导师指导下选择1条发展路径，按路径要求修读课程。
      </w:t>
      </w:r>
    </w:p>
    <w:p>
      <w:pPr>
        <w:spacing w:after="0"/>
        <w:ind w:left="0"/>
        <w:jc w:val="left"/>
      </w:pPr>
      <w:r>
        <w:rPr>
          <w:rFonts w:ascii="SimSun" w:hAnsi="SimSun"/>
          <w:b/>
          <w:i w:val="false"/>
          <w:color w:val="000000"/>
          <w:sz w:val="21"/>
        </w:rPr>
        <w:t xml:space="preserve">
       1.  专业进阶路径（32学分）
      </w:t>
      </w:r>
    </w:p>
    <w:p>
      <w:pPr>
        <w:spacing w:after="0"/>
        <w:ind w:left="0"/>
        <w:jc w:val="left"/>
      </w:pPr>
      <w:r>
        <w:rPr>
          <w:rFonts w:ascii="SimSun" w:hAnsi="SimSun"/>
          <w:b w:val="false"/>
          <w:i w:val="false"/>
          <w:color w:val="000000"/>
          <w:sz w:val="21"/>
        </w:rPr>
        <w:t xml:space="preserve">
       修满32学分。其中A组至少修读16学分，B组至少修读16学分。专业进阶课程设置如下：
      </w:t>
      </w:r>
    </w:p>
    <w:p>
      <w:pPr>
        <w:spacing w:after="0"/>
        <w:ind w:left="0"/>
        <w:jc w:val="left"/>
      </w:pPr>
      <w:r>
        <w:rPr>
          <w:rFonts w:ascii="SimSun" w:hAnsi="SimSun"/>
          <w:b/>
          <w:i w:val="false"/>
          <w:color w:val="000000"/>
          <w:sz w:val="21"/>
        </w:rPr>
        <w:t xml:space="preserve">
       (1) A组（14学分）
      </w:t>
      </w:r>
    </w:p>
    <w:tbl>
      <w:tblPr>
        <w:tblW w:w="0" w:type="auto"/>
        <w:tblCellSpacing w:w="0" w:type="auto"/>
        <w:tblBorders>
          <w:top w:val="none"/>
          <w:left w:val="none"/>
          <w:bottom w:val="none"/>
          <w:right w:val="none"/>
          <w:insideH w:val="none"/>
          <w:insideV w:val="none"/>
        </w:tblBorders>
      </w:tblPr>
      <w:tblGrid>
        <w:gridCol w:w="3205"/>
        <w:gridCol w:w="800"/>
        <w:gridCol w:w="800"/>
        <w:gridCol w:w="1122"/>
        <w:gridCol w:w="1778"/>
        <w:gridCol w:w="801"/>
        <w:gridCol w:w="801"/>
        <w:gridCol w:w="801"/>
        <w:gridCol w:w="801"/>
        <w:gridCol w:w="1122"/>
        <w:gridCol w:w="1603"/>
      </w:tblGrid>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旅游与文化遗产文献阅读</w:t>
            </w:r>
            <w:r>
              <w:br/>
            </w:r>
            <w:r>
              <w:rPr>
                <w:rFonts w:ascii="SimSun" w:hAnsi="SimSun"/>
                <w:b w:val="false"/>
                <w:i w:val="false"/>
                <w:color w:val="000000"/>
                <w:sz w:val="21"/>
              </w:rPr>
              <w:t>Selected Reading in Tourism and Cultural Heritage</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BA30010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文化遗产与旅游发展伦理专题</w:t>
            </w:r>
            <w:r>
              <w:br/>
            </w:r>
            <w:r>
              <w:rPr>
                <w:rFonts w:ascii="SimSun" w:hAnsi="SimSun"/>
                <w:b w:val="false"/>
                <w:i w:val="false"/>
                <w:color w:val="000000"/>
                <w:sz w:val="21"/>
              </w:rPr>
              <w:t>Ethics of Cultural Heritage and Tourism Development</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BA30009</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非物质文化遗产保护与旅游利用</w:t>
            </w:r>
            <w:r>
              <w:br/>
            </w:r>
            <w:r>
              <w:rPr>
                <w:rFonts w:ascii="SimSun" w:hAnsi="SimSun"/>
                <w:b w:val="false"/>
                <w:i w:val="false"/>
                <w:color w:val="000000"/>
                <w:sz w:val="21"/>
              </w:rPr>
              <w:t>Intangible Cultural Heritage：Conservation and Tourism-wise Utilization</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BA30006</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中国古代城市史</w:t>
            </w:r>
            <w:r>
              <w:br/>
            </w:r>
            <w:r>
              <w:rPr>
                <w:rFonts w:ascii="SimSun" w:hAnsi="SimSun"/>
                <w:b w:val="false"/>
                <w:i w:val="false"/>
                <w:color w:val="000000"/>
                <w:sz w:val="21"/>
              </w:rPr>
              <w:t>Urban History of Ancient China</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中国古代礼制研究</w:t>
            </w:r>
            <w:r>
              <w:br/>
            </w:r>
            <w:r>
              <w:rPr>
                <w:rFonts w:ascii="SimSun" w:hAnsi="SimSun"/>
                <w:b w:val="false"/>
                <w:i w:val="false"/>
                <w:color w:val="000000"/>
                <w:sz w:val="21"/>
              </w:rPr>
              <w:t>Ritual System in Ancient China</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HIST30023</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中国古代社会生活史</w:t>
            </w:r>
            <w:r>
              <w:br/>
            </w:r>
            <w:r>
              <w:rPr>
                <w:rFonts w:ascii="SimSun" w:hAnsi="SimSun"/>
                <w:b w:val="false"/>
                <w:i w:val="false"/>
                <w:color w:val="000000"/>
                <w:sz w:val="21"/>
              </w:rPr>
              <w:t>Society and Life in Ancient China</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HIST30047</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明清文化史</w:t>
            </w:r>
            <w:r>
              <w:br/>
            </w:r>
            <w:r>
              <w:rPr>
                <w:rFonts w:ascii="SimSun" w:hAnsi="SimSun"/>
                <w:b w:val="false"/>
                <w:i w:val="false"/>
                <w:color w:val="000000"/>
                <w:sz w:val="21"/>
              </w:rPr>
              <w:t>Culture History of Ming and Qing Dynasty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美国大众文化史</w:t>
            </w:r>
            <w:r>
              <w:br/>
            </w:r>
            <w:r>
              <w:rPr>
                <w:rFonts w:ascii="SimSun" w:hAnsi="SimSun"/>
                <w:b w:val="false"/>
                <w:i w:val="false"/>
                <w:color w:val="000000"/>
                <w:sz w:val="21"/>
              </w:rPr>
              <w:t>History of Popular Culture in the USA</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古希腊史</w:t>
            </w:r>
            <w:r>
              <w:br/>
            </w:r>
            <w:r>
              <w:rPr>
                <w:rFonts w:ascii="SimSun" w:hAnsi="SimSun"/>
                <w:b w:val="false"/>
                <w:i w:val="false"/>
                <w:color w:val="000000"/>
                <w:sz w:val="21"/>
              </w:rPr>
              <w:t>Ancient Greek History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日本近代史</w:t>
            </w:r>
            <w:r>
              <w:br/>
            </w:r>
            <w:r>
              <w:rPr>
                <w:rFonts w:ascii="SimSun" w:hAnsi="SimSun"/>
                <w:b w:val="false"/>
                <w:i w:val="false"/>
                <w:color w:val="000000"/>
                <w:sz w:val="21"/>
              </w:rPr>
              <w:t>A Modern History of Japan</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韩国文化史</w:t>
            </w:r>
            <w:r>
              <w:br/>
            </w:r>
            <w:r>
              <w:rPr>
                <w:rFonts w:ascii="SimSun" w:hAnsi="SimSun"/>
                <w:b w:val="false"/>
                <w:i w:val="false"/>
                <w:color w:val="000000"/>
                <w:sz w:val="21"/>
              </w:rPr>
              <w:t>Culture History of Korea</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HIST30108</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文化创意产业引论</w:t>
            </w:r>
            <w:r>
              <w:br/>
            </w:r>
            <w:r>
              <w:rPr>
                <w:rFonts w:ascii="SimSun" w:hAnsi="SimSun"/>
                <w:b w:val="false"/>
                <w:i w:val="false"/>
                <w:color w:val="000000"/>
                <w:sz w:val="21"/>
              </w:rPr>
              <w:t>Introduction to Creative Industries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BA30091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旅游文化学</w:t>
            </w:r>
            <w:r>
              <w:br/>
            </w:r>
            <w:r>
              <w:rPr>
                <w:rFonts w:ascii="SimSun" w:hAnsi="SimSun"/>
                <w:b w:val="false"/>
                <w:i w:val="false"/>
                <w:color w:val="000000"/>
                <w:sz w:val="21"/>
              </w:rPr>
              <w:t>Tourism Culture</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BA30065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旅游与跨文化沟通</w:t>
            </w:r>
            <w:r>
              <w:br/>
            </w:r>
            <w:r>
              <w:rPr>
                <w:rFonts w:ascii="SimSun" w:hAnsi="SimSun"/>
                <w:b w:val="false"/>
                <w:i w:val="false"/>
                <w:color w:val="000000"/>
                <w:sz w:val="21"/>
              </w:rPr>
              <w:t>Tourism and Cross-Cultural Communication</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BA30097</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遗产旅游</w:t>
            </w:r>
            <w:r>
              <w:br/>
            </w:r>
            <w:r>
              <w:rPr>
                <w:rFonts w:ascii="SimSun" w:hAnsi="SimSun"/>
                <w:b w:val="false"/>
                <w:i w:val="false"/>
                <w:color w:val="000000"/>
                <w:sz w:val="21"/>
              </w:rPr>
              <w:t>Introduction to Heritage Tourism</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BA30082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博物馆学概论</w:t>
            </w:r>
            <w:r>
              <w:br/>
            </w:r>
            <w:r>
              <w:rPr>
                <w:rFonts w:ascii="SimSun" w:hAnsi="SimSun"/>
                <w:b w:val="false"/>
                <w:i w:val="false"/>
                <w:color w:val="000000"/>
                <w:sz w:val="21"/>
              </w:rPr>
              <w:t>Introduction to Museology</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MUSE20001</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B组（16学分）
      </w:t>
      </w:r>
    </w:p>
    <w:tbl>
      <w:tblPr>
        <w:tblW w:w="0" w:type="auto"/>
        <w:tblCellSpacing w:w="0" w:type="auto"/>
        <w:tblBorders>
          <w:top w:val="none"/>
          <w:left w:val="none"/>
          <w:bottom w:val="none"/>
          <w:right w:val="none"/>
          <w:insideH w:val="none"/>
          <w:insideV w:val="none"/>
        </w:tblBorders>
      </w:tblPr>
      <w:tblGrid>
        <w:gridCol w:w="3246"/>
        <w:gridCol w:w="811"/>
        <w:gridCol w:w="811"/>
        <w:gridCol w:w="1136"/>
        <w:gridCol w:w="1623"/>
        <w:gridCol w:w="811"/>
        <w:gridCol w:w="811"/>
        <w:gridCol w:w="811"/>
        <w:gridCol w:w="811"/>
        <w:gridCol w:w="1137"/>
        <w:gridCol w:w="1626"/>
      </w:tblGrid>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酒店管理概论</w:t>
            </w:r>
            <w:r>
              <w:br/>
            </w:r>
            <w:r>
              <w:rPr>
                <w:rFonts w:ascii="SimSun" w:hAnsi="SimSun"/>
                <w:b w:val="false"/>
                <w:i w:val="false"/>
                <w:color w:val="000000"/>
                <w:sz w:val="21"/>
              </w:rPr>
              <w:t>Introduction to Hotel Management</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BA30085</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国际酒店管理专题</w:t>
            </w:r>
            <w:r>
              <w:br/>
            </w:r>
            <w:r>
              <w:rPr>
                <w:rFonts w:ascii="SimSun" w:hAnsi="SimSun"/>
                <w:b w:val="false"/>
                <w:i w:val="false"/>
                <w:color w:val="000000"/>
                <w:sz w:val="21"/>
              </w:rPr>
              <w:t>Topics on International Hotel Management</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BA30084</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邮轮产业与服务管理</w:t>
            </w:r>
            <w:r>
              <w:br/>
            </w:r>
            <w:r>
              <w:rPr>
                <w:rFonts w:ascii="SimSun" w:hAnsi="SimSun"/>
                <w:b w:val="false"/>
                <w:i w:val="false"/>
                <w:color w:val="000000"/>
                <w:sz w:val="21"/>
              </w:rPr>
              <w:t>Cruise Industry and Service Management</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BA30096</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旅游市场研究</w:t>
            </w:r>
            <w:r>
              <w:br/>
            </w:r>
            <w:r>
              <w:rPr>
                <w:rFonts w:ascii="SimSun" w:hAnsi="SimSun"/>
                <w:b w:val="false"/>
                <w:i w:val="false"/>
                <w:color w:val="000000"/>
                <w:sz w:val="21"/>
              </w:rPr>
              <w:t>Tourism Market Studies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BA30075</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旅游管理专题</w:t>
            </w:r>
            <w:r>
              <w:br/>
            </w:r>
            <w:r>
              <w:rPr>
                <w:rFonts w:ascii="SimSun" w:hAnsi="SimSun"/>
                <w:b w:val="false"/>
                <w:i w:val="false"/>
                <w:color w:val="000000"/>
                <w:sz w:val="21"/>
              </w:rPr>
              <w:t>Topics on Tourism Management</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BA30073</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会展管理</w:t>
            </w:r>
            <w:r>
              <w:br/>
            </w:r>
            <w:r>
              <w:rPr>
                <w:rFonts w:ascii="SimSun" w:hAnsi="SimSun"/>
                <w:b w:val="false"/>
                <w:i w:val="false"/>
                <w:color w:val="000000"/>
                <w:sz w:val="21"/>
              </w:rPr>
              <w:t>Convention and Exhibition Management</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BA30078</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旅游运营商经营与管理</w:t>
            </w:r>
            <w:r>
              <w:br/>
            </w:r>
            <w:r>
              <w:rPr>
                <w:rFonts w:ascii="SimSun" w:hAnsi="SimSun"/>
                <w:b w:val="false"/>
                <w:i w:val="false"/>
                <w:color w:val="000000"/>
                <w:sz w:val="21"/>
              </w:rPr>
              <w:t>Tour Operator Business Management</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BA20007</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文化遗产与城市旅游</w:t>
            </w:r>
            <w:r>
              <w:br/>
            </w:r>
            <w:r>
              <w:rPr>
                <w:rFonts w:ascii="SimSun" w:hAnsi="SimSun"/>
                <w:b w:val="false"/>
                <w:i w:val="false"/>
                <w:color w:val="000000"/>
                <w:sz w:val="21"/>
              </w:rPr>
              <w:t>Culture Heritage and Urban Tourism</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BA20006</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文化遗产与乡村旅游</w:t>
            </w:r>
            <w:r>
              <w:br/>
            </w:r>
            <w:r>
              <w:rPr>
                <w:rFonts w:ascii="SimSun" w:hAnsi="SimSun"/>
                <w:b w:val="false"/>
                <w:i w:val="false"/>
                <w:color w:val="000000"/>
                <w:sz w:val="21"/>
              </w:rPr>
              <w:t>Culture Heritage and Rural Tourism</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BA30011</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数字文旅调研</w:t>
            </w:r>
            <w:r>
              <w:br/>
            </w:r>
            <w:r>
              <w:rPr>
                <w:rFonts w:ascii="SimSun" w:hAnsi="SimSun"/>
                <w:b w:val="false"/>
                <w:i w:val="false"/>
                <w:color w:val="000000"/>
                <w:sz w:val="21"/>
              </w:rPr>
              <w:t>Digital Cultural Tourism Research</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BA30008</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旅游收益管理</w:t>
            </w:r>
            <w:r>
              <w:br/>
            </w:r>
            <w:r>
              <w:rPr>
                <w:rFonts w:ascii="SimSun" w:hAnsi="SimSun"/>
                <w:b w:val="false"/>
                <w:i w:val="false"/>
                <w:color w:val="000000"/>
                <w:sz w:val="21"/>
              </w:rPr>
              <w:t>Tourism Revenue Management</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BA30087</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旅游发展规划</w:t>
            </w:r>
            <w:r>
              <w:br/>
            </w:r>
            <w:r>
              <w:rPr>
                <w:rFonts w:ascii="SimSun" w:hAnsi="SimSun"/>
                <w:b w:val="false"/>
                <w:i w:val="false"/>
                <w:color w:val="000000"/>
                <w:sz w:val="21"/>
              </w:rPr>
              <w:t>Tourism Development and Planning</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BA30077</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旅游地产与度假区管理</w:t>
            </w:r>
            <w:r>
              <w:br/>
            </w:r>
            <w:r>
              <w:rPr>
                <w:rFonts w:ascii="SimSun" w:hAnsi="SimSun"/>
                <w:b w:val="false"/>
                <w:i w:val="false"/>
                <w:color w:val="000000"/>
                <w:sz w:val="21"/>
              </w:rPr>
              <w:t>Tourist Resorts Management</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BA30088</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旅游广告</w:t>
            </w:r>
            <w:r>
              <w:br/>
            </w:r>
            <w:r>
              <w:rPr>
                <w:rFonts w:ascii="SimSun" w:hAnsi="SimSun"/>
                <w:b w:val="false"/>
                <w:i w:val="false"/>
                <w:color w:val="000000"/>
                <w:sz w:val="21"/>
              </w:rPr>
              <w:t>Tourism Advertising</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BA30089</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游憩管理</w:t>
            </w:r>
            <w:r>
              <w:br/>
            </w:r>
            <w:r>
              <w:rPr>
                <w:rFonts w:ascii="SimSun" w:hAnsi="SimSun"/>
                <w:b w:val="false"/>
                <w:i w:val="false"/>
                <w:color w:val="000000"/>
                <w:sz w:val="21"/>
              </w:rPr>
              <w:t>Recreation Management</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BA30093</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主题公园管理</w:t>
            </w:r>
            <w:r>
              <w:br/>
            </w:r>
            <w:r>
              <w:rPr>
                <w:rFonts w:ascii="SimSun" w:hAnsi="SimSun"/>
                <w:b w:val="false"/>
                <w:i w:val="false"/>
                <w:color w:val="000000"/>
                <w:sz w:val="21"/>
              </w:rPr>
              <w:t>Theme Park and Attractions Management</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BA30094</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旅游接待业</w:t>
            </w:r>
            <w:r>
              <w:br/>
            </w:r>
            <w:r>
              <w:rPr>
                <w:rFonts w:ascii="SimSun" w:hAnsi="SimSun"/>
                <w:b w:val="false"/>
                <w:i w:val="false"/>
                <w:color w:val="000000"/>
                <w:sz w:val="21"/>
              </w:rPr>
              <w:t>Tourism and Hospitality Industry</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BA20019</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国际旅游服务贸易</w:t>
            </w:r>
            <w:r>
              <w:br/>
            </w:r>
            <w:r>
              <w:rPr>
                <w:rFonts w:ascii="SimSun" w:hAnsi="SimSun"/>
                <w:b w:val="false"/>
                <w:i w:val="false"/>
                <w:color w:val="000000"/>
                <w:sz w:val="21"/>
              </w:rPr>
              <w:t>International Tourism Service Trade</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BA30101</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服务管理</w:t>
            </w:r>
            <w:r>
              <w:br/>
            </w:r>
            <w:r>
              <w:rPr>
                <w:rFonts w:ascii="SimSun" w:hAnsi="SimSun"/>
                <w:b w:val="false"/>
                <w:i w:val="false"/>
                <w:color w:val="000000"/>
                <w:sz w:val="21"/>
              </w:rPr>
              <w:t>Service Management</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BA30086</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休闲学概论</w:t>
            </w:r>
            <w:r>
              <w:br/>
            </w:r>
            <w:r>
              <w:rPr>
                <w:rFonts w:ascii="SimSun" w:hAnsi="SimSun"/>
                <w:b w:val="false"/>
                <w:i w:val="false"/>
                <w:color w:val="000000"/>
                <w:sz w:val="21"/>
              </w:rPr>
              <w:t>General Survey of Leisure Industry</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BA30076</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旅游策划学</w:t>
            </w:r>
            <w:r>
              <w:br/>
            </w:r>
            <w:r>
              <w:rPr>
                <w:rFonts w:ascii="SimSun" w:hAnsi="SimSun"/>
                <w:b w:val="false"/>
                <w:i w:val="false"/>
                <w:color w:val="000000"/>
                <w:sz w:val="21"/>
              </w:rPr>
              <w:t>Tourism Project and Planning</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BA30071</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旅游心理学</w:t>
            </w:r>
            <w:r>
              <w:br/>
            </w:r>
            <w:r>
              <w:rPr>
                <w:rFonts w:ascii="SimSun" w:hAnsi="SimSun"/>
                <w:b w:val="false"/>
                <w:i w:val="false"/>
                <w:color w:val="000000"/>
                <w:sz w:val="21"/>
              </w:rPr>
              <w:t>Consumer Psychology of Tourism</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BA30068</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旅游社会学</w:t>
            </w:r>
            <w:r>
              <w:br/>
            </w:r>
            <w:r>
              <w:rPr>
                <w:rFonts w:ascii="SimSun" w:hAnsi="SimSun"/>
                <w:b w:val="false"/>
                <w:i w:val="false"/>
                <w:color w:val="000000"/>
                <w:sz w:val="21"/>
              </w:rPr>
              <w:t>Tourism Sociology</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BA30072</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文化遗产管理</w:t>
            </w:r>
            <w:r>
              <w:br/>
            </w:r>
            <w:r>
              <w:rPr>
                <w:rFonts w:ascii="SimSun" w:hAnsi="SimSun"/>
                <w:b w:val="false"/>
                <w:i w:val="false"/>
                <w:color w:val="000000"/>
                <w:sz w:val="21"/>
              </w:rPr>
              <w:t>Management of Cultural Heritage</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BA30092</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
      </w:t>
      </w:r>
    </w:p>
    <w:p>
      <w:pPr>
        <w:spacing w:after="0"/>
        <w:ind w:left="0"/>
        <w:jc w:val="left"/>
      </w:pPr>
    </w:p>
    <w:p>
      <w:pPr>
        <w:spacing w:after="0"/>
        <w:ind w:left="0"/>
        <w:jc w:val="left"/>
      </w:pPr>
      <w:r>
        <w:rPr>
          <w:rFonts w:ascii="SimSun" w:hAnsi="SimSun"/>
          <w:b/>
          <w:i w:val="false"/>
          <w:color w:val="000000"/>
          <w:sz w:val="21"/>
        </w:rPr>
        <w:t xml:space="preserve">
       3.  跨学科发展路径（47学分）
      </w:t>
      </w:r>
    </w:p>
    <w:p>
      <w:pPr>
        <w:spacing w:after="0"/>
        <w:ind w:left="0"/>
        <w:jc w:val="left"/>
      </w:pPr>
      <w:r>
        <w:rPr>
          <w:rFonts w:ascii="SimSun" w:hAnsi="SimSun"/>
          <w:b w:val="false"/>
          <w:i w:val="false"/>
          <w:color w:val="000000"/>
          <w:sz w:val="21"/>
        </w:rPr>
        <w:t xml:space="preserve">
       修满47学分。要求修读修读本专业进阶课程32学分+1个跨学科微专业（学程）15学分。学分不足部分可在全校所有本科生课程中任意选修。学程课程详见教务处微专业（学程）项目网页，下载地址：https://jwc.fudan.edu.cn/（复旦大学教务处）专业培养-常用文档。完成学程修读要求的学生可获得相应的微专业（学程）证书。
      </w:t>
      </w:r>
    </w:p>
    <w:p>
      <w:pPr>
        <w:spacing w:after="0"/>
        <w:ind w:left="0"/>
        <w:jc w:val="left"/>
      </w:pPr>
      <w:r>
        <w:rPr>
          <w:rFonts w:ascii="SimSun" w:hAnsi="SimSun"/>
          <w:b/>
          <w:i w:val="false"/>
          <w:color w:val="000000"/>
          <w:sz w:val="21"/>
        </w:rPr>
        <w:t xml:space="preserve">
       4.  创新创业路径（47学分）
      </w:t>
      </w:r>
    </w:p>
    <w:p>
      <w:pPr>
        <w:spacing w:after="0"/>
        <w:ind w:left="0"/>
        <w:jc w:val="left"/>
      </w:pPr>
    </w:p>
    <w:p>
      <w:pPr>
        <w:spacing w:after="0"/>
        <w:ind w:left="0"/>
        <w:jc w:val="left"/>
      </w:pPr>
      <w:r>
        <w:rPr>
          <w:rFonts w:ascii="SimSun" w:hAnsi="SimSun"/>
          <w:b/>
          <w:i w:val="false"/>
          <w:color w:val="000000"/>
          <w:sz w:val="21"/>
        </w:rPr>
        <w:t xml:space="preserve">
       5.  辅修学士学位路径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i w:val="false"/>
          <w:color w:val="000000"/>
          <w:sz w:val="21"/>
        </w:rPr>
        <w:t xml:space="preserve">
       (四) 融合创新能力（7学分）
      </w:t>
      </w:r>
    </w:p>
    <w:p>
      <w:pPr>
        <w:spacing w:after="0"/>
        <w:ind w:left="0"/>
        <w:jc w:val="left"/>
      </w:pPr>
      <w:r>
        <w:rPr>
          <w:rFonts w:ascii="SimSun" w:hAnsi="SimSun"/>
          <w:b w:val="false"/>
          <w:i w:val="false"/>
          <w:color w:val="000000"/>
          <w:sz w:val="21"/>
        </w:rPr>
        <w:t xml:space="preserve">
       要求修读7学分。鼓励学生在读期间积极申请复芏计划（FDUROP）项目，详见复旦大学本科生学术研究资助计划管理办法。
      </w:t>
      </w:r>
    </w:p>
    <w:tbl>
      <w:tblPr>
        <w:tblW w:w="0" w:type="auto"/>
        <w:tblCellSpacing w:w="0" w:type="auto"/>
        <w:tblBorders>
          <w:top w:val="none"/>
          <w:left w:val="none"/>
          <w:bottom w:val="none"/>
          <w:right w:val="none"/>
          <w:insideH w:val="none"/>
          <w:insideV w:val="none"/>
        </w:tblBorders>
      </w:tblPr>
      <w:tblGrid>
        <w:gridCol w:w="3246"/>
        <w:gridCol w:w="811"/>
        <w:gridCol w:w="811"/>
        <w:gridCol w:w="1136"/>
        <w:gridCol w:w="1623"/>
        <w:gridCol w:w="811"/>
        <w:gridCol w:w="811"/>
        <w:gridCol w:w="811"/>
        <w:gridCol w:w="811"/>
        <w:gridCol w:w="1137"/>
        <w:gridCol w:w="1626"/>
      </w:tblGrid>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文化遗产田野调查</w:t>
            </w:r>
            <w:r>
              <w:br/>
            </w:r>
            <w:r>
              <w:rPr>
                <w:rFonts w:ascii="SimSun" w:hAnsi="SimSun"/>
                <w:b w:val="false"/>
                <w:i w:val="false"/>
                <w:color w:val="000000"/>
                <w:sz w:val="21"/>
              </w:rPr>
              <w:t>Field Study of Cultural Heritage</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BA30007</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暑期</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学年论文</w:t>
            </w:r>
            <w:r>
              <w:br/>
            </w:r>
            <w:r>
              <w:rPr>
                <w:rFonts w:ascii="SimSun" w:hAnsi="SimSun"/>
                <w:b w:val="false"/>
                <w:i w:val="false"/>
                <w:color w:val="000000"/>
                <w:sz w:val="21"/>
              </w:rPr>
              <w:t>Junior Thesis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BA30066</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BA40004</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 Target="media/document_image_rId8.png" Type="http://schemas.openxmlformats.org/officeDocument/2006/relationships/image" Id="rId8"/>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