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image/png" PartName="/word/media/document_image_rId4.png"/>
  <Override ContentType="image/png" PartName="/word/media/document_image_rId5.png"/>
  <Override ContentType="image/png" PartName="/word/media/document_image_rId6.png"/>
  <Override ContentType="image/png" PartName="/word/media/document_image_rId7.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w:body>
    <w:p>
      <w:pPr>
        <w:spacing w:after="0"/>
        <w:ind w:left="0"/>
        <w:jc w:val="center"/>
      </w:pPr>
      <w:r>
        <w:rPr>
          <w:rFonts w:ascii="SimSun" w:hAnsi="SimSun"/>
          <w:b w:val="false"/>
          <w:i w:val="false"/>
          <w:color w:val="000000"/>
          <w:sz w:val="21"/>
        </w:rPr>
        <w:t xml:space="preserve">
    </w:t>
      </w:r>
      <w:r>
        <w:drawing>
          <wp:inline distT="0" distB="0" distL="0" distR="0">
            <wp:extent cx="2395525" cy="780225"/>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2395525" cy="780225"/>
                    </a:xfrm>
                    <a:prstGeom prst="rect">
                      <a:avLst/>
                    </a:prstGeom>
                  </pic:spPr>
                </pic:pic>
              </a:graphicData>
            </a:graphic>
          </wp:inline>
        </w:drawing>
      </w:r>
      <w:r>
        <w:rPr>
          <w:rFonts w:ascii="SimSun" w:hAnsi="SimSun"/>
          <w:b w:val="false"/>
          <w:i w:val="false"/>
          <w:color w:val="000000"/>
          <w:sz w:val="21"/>
        </w:rPr>
        <w:t xml:space="preserve">
   </w:t>
      </w:r>
    </w:p>
    <w:p>
      <w:pPr>
        <w:spacing w:after="0"/>
        <w:ind w:left="0"/>
        <w:jc w:val="center"/>
      </w:pPr>
      <w:r>
        <w:rPr>
          <w:rFonts w:ascii="SimSun" w:hAnsi="SimSun"/>
          <w:b w:val="false"/>
          <w:i w:val="false"/>
          <w:color w:val="000000"/>
          <w:sz w:val="21"/>
        </w:rPr>
        <w:t xml:space="preserve">
    </w:t>
      </w:r>
      <w:r>
        <w:rPr>
          <w:rFonts w:ascii="SimSun" w:hAnsi="SimSun"/>
          <w:b/>
          <w:i w:val="false"/>
          <w:color w:val="000000"/>
          <w:sz w:val="44"/>
        </w:rPr>
        <w:t>哲学学院</w:t>
      </w:r>
      <w:r>
        <w:rPr>
          <w:rFonts w:ascii="SimSun" w:hAnsi="SimSun"/>
          <w:b w:val="false"/>
          <w:i w:val="false"/>
          <w:color w:val="000000"/>
          <w:sz w:val="21"/>
        </w:rPr>
        <w:t xml:space="preserve">
   </w:t>
      </w:r>
    </w:p>
    <w:p>
      <w:pPr>
        <w:spacing w:after="0"/>
        <w:ind w:left="0"/>
        <w:jc w:val="center"/>
      </w:pPr>
      <w:r>
        <w:rPr>
          <w:rFonts w:ascii="SimSun" w:hAnsi="SimSun"/>
          <w:b w:val="false"/>
          <w:i w:val="false"/>
          <w:color w:val="000000"/>
          <w:sz w:val="21"/>
        </w:rPr>
        <w:t xml:space="preserve">
    </w:t>
      </w:r>
      <w:bookmarkStart w:id="0" w:name="print-title"/>
      <w:r>
        <w:rPr>
          <w:rFonts w:ascii="SimSun" w:hAnsi="SimSun"/>
          <w:b/>
          <w:i w:val="false"/>
          <w:color w:val="000000"/>
          <w:sz w:val="44"/>
        </w:rPr>
        <w:t>2026哲学(国学方向)(强基计划)本科培养方案</w:t>
      </w:r>
      <w:bookmarkEnd w:id="0"/>
      <w:r>
        <w:rPr>
          <w:rFonts w:ascii="SimSun" w:hAnsi="SimSun"/>
          <w:b w:val="false"/>
          <w:i w:val="false"/>
          <w:color w:val="000000"/>
          <w:sz w:val="21"/>
        </w:rPr>
        <w:t xml:space="preserve">
   </w:t>
      </w:r>
    </w:p>
    <w:p>
      <w:pPr>
        <w:spacing w:after="0"/>
        <w:ind w:left="0"/>
        <w:jc w:val="left"/>
      </w:pPr>
      <w:r>
        <w:rPr>
          <w:rFonts w:ascii="SimSun" w:hAnsi="SimSun"/>
          <w:b/>
          <w:i w:val="false"/>
          <w:color w:val="000000"/>
          <w:sz w:val="24"/>
        </w:rPr>
        <w:t xml:space="preserve">
       一.    学科专业简介
      </w:t>
      </w:r>
    </w:p>
    <w:p>
      <w:pPr>
        <w:spacing w:after="0"/>
        <w:ind w:left="0"/>
        <w:jc w:val="left"/>
      </w:pPr>
      <w:r>
        <w:rPr>
          <w:rFonts w:ascii="SimSun" w:hAnsi="SimSun"/>
          <w:b w:val="false"/>
          <w:i w:val="false"/>
          <w:color w:val="000000"/>
          <w:sz w:val="21"/>
        </w:rPr>
        <w:t xml:space="preserve">  复旦大学哲学学院为国家文科人才培养与科学研究基地，哲学学科为国家重点一级学科，马克思主义哲学、西方哲学和中国哲学为国家重点二级学科。在全国第四轮学科评估中与北京大学并列哲学类“A+学科”，2017年被教育部评为“一流学科”，2018年入选上海市I类高峰学科。在2021年QS世界大学学科排名中，复旦哲学学科位列全球第31位，宗教学专业位列全球第41位。此外，学院有1个教育部人文社会科学重点研究基地。哲学学院具有哲学一级学科下属的全部二级学科，近年来成立了国内首个科学哲学与逻辑学系、国内首个艺术哲学系，形成了哲学、宗教学、中国古典思想与文化、科学哲学与逻辑学、艺术哲学五大学科群集群发展态势。</w:t>
      </w:r>
    </w:p>
    <w:p>
      <w:pPr>
        <w:spacing w:after="0"/>
        <w:ind w:left="0"/>
        <w:jc w:val="left"/>
      </w:pPr>
      <w:r>
        <w:rPr>
          <w:rFonts w:ascii="SimSun" w:hAnsi="SimSun"/>
          <w:b/>
          <w:i w:val="false"/>
          <w:color w:val="000000"/>
          <w:sz w:val="24"/>
        </w:rPr>
        <w:t xml:space="preserve">
       二.    培养目标
      </w:t>
      </w:r>
    </w:p>
    <w:p>
      <w:pPr>
        <w:spacing w:after="0"/>
        <w:ind w:left="0"/>
        <w:jc w:val="left"/>
      </w:pPr>
      <w:r>
        <w:rPr>
          <w:rFonts w:ascii="SimSun" w:hAnsi="SimSun"/>
          <w:b w:val="false"/>
          <w:i w:val="false"/>
          <w:color w:val="000000"/>
          <w:sz w:val="21"/>
        </w:rPr>
        <w:t xml:space="preserve">  哲学类专业以马克思主义理论与方法为指导，培养德、智、体、美、劳全面发展，有一定哲学理论素养和专业基础知识，有进一步培养潜质的哲学专门人才，以及能在国家机关、 文教事业、 新闻出版、企业等部门从事实际工作的应用型、复合型人才。哲学类专业包括哲学专业、哲学（国学方向）专业、哲学（科学哲学与逻辑学方向）专业、哲学（艺术哲学方向）专业和宗教学专业。哲学类专业侧重培养学生综合掌握和运用哲学各个二级学科理论知识的能力，要求学生能够准确理解马克思主义哲学、中国哲学和西方哲学的理论和历史；具备人文科学、社会科学、自然科学的相关基础知识；掌握哲学的基本研究方法和相应的社会调查能力；熟练地掌握一门外语；具有较强的思维能力、表达能力、社会活动能力和初步的科学研究能力，以及一定的管理能力。哲学（国学方向）专业在哲学大类要求的基础上，还要求学生具有扎实的国学基础知识和较高的古代汉语素养，熟读国学基本经典，掌握中国传统思想的各种流派及其特点。</w:t>
      </w:r>
    </w:p>
    <w:p>
      <w:pPr>
        <w:spacing w:after="0"/>
        <w:ind w:left="0"/>
        <w:jc w:val="left"/>
      </w:pPr>
      <w:r>
        <w:rPr>
          <w:rFonts w:ascii="SimSun" w:hAnsi="SimSun"/>
          <w:b/>
          <w:i w:val="false"/>
          <w:color w:val="000000"/>
          <w:sz w:val="24"/>
        </w:rPr>
        <w:t xml:space="preserve">
       三.    基本要求
      </w:t>
      </w:r>
    </w:p>
    <w:p>
      <w:pPr>
        <w:spacing w:after="0"/>
        <w:ind w:left="0"/>
        <w:jc w:val="left"/>
      </w:pPr>
      <w:r>
        <w:drawing>
          <wp:inline distT="0" distB="0" distL="0" distR="0">
            <wp:extent cx="5732145" cy="2263527"/>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2145" cy="2263527"/>
                    </a:xfrm>
                    <a:prstGeom prst="rect">
                      <a:avLst/>
                    </a:prstGeom>
                  </pic:spPr>
                </pic:pic>
              </a:graphicData>
            </a:graphic>
          </wp:inline>
        </w:drawing>
      </w:r>
    </w:p>
    <w:p>
      <w:pPr>
        <w:spacing w:after="0"/>
        <w:ind w:left="0"/>
        <w:jc w:val="left"/>
      </w:pPr>
      <w:r>
        <w:rPr>
          <w:rFonts w:ascii="SimSun" w:hAnsi="SimSun"/>
          <w:b/>
          <w:i w:val="false"/>
          <w:color w:val="000000"/>
          <w:sz w:val="24"/>
        </w:rPr>
        <w:t xml:space="preserve">
       四.    修业要求
      </w:t>
      </w:r>
    </w:p>
    <w:tbl>
      <w:tblPr>
        <w:tblW w:w="0" w:type="auto"/>
        <w:tblCellSpacing w:w="0" w:type="auto"/>
        <w:tblInd w:w="115" w:type="dxa"/>
        <w:tblBorders>
          <w:top w:val="single" w:color="000000" w:sz="8"/>
          <w:left w:val="single" w:color="000000" w:sz="8"/>
          <w:bottom w:val="none"/>
          <w:right w:val="none"/>
          <w:insideH w:val="none"/>
          <w:insideV w:val="none"/>
        </w:tblBorders>
      </w:tblPr>
      <w:tblGrid>
        <w:gridCol w:w="1100"/>
        <w:gridCol w:w="920"/>
        <w:gridCol w:w="1437"/>
        <w:gridCol w:w="1438"/>
        <w:gridCol w:w="1740"/>
        <w:gridCol w:w="1680"/>
        <w:gridCol w:w="1460"/>
        <w:gridCol w:w="1051"/>
        <w:gridCol w:w="1051"/>
        <w:gridCol w:w="1051"/>
        <w:gridCol w:w="1052"/>
      </w:tblGrid>
      <w:tr>
        <w:trPr>
          <w:trHeight w:val="240" w:hRule="atLeast"/>
        </w:trPr>
        <w:tc>
          <w:tcPr>
            <w:tcW w:w="0" w:type="auto"/>
            <w:gridSpan w:val="11"/>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1.修业年限：4年（类型：☑本科、□本硕、□本博）</w:t>
            </w:r>
          </w:p>
        </w:tc>
      </w:tr>
      <w:tr>
        <w:trPr>
          <w:trHeight w:val="240" w:hRule="atLeast"/>
        </w:trPr>
        <w:tc>
          <w:tcPr>
            <w:tcW w:w="0" w:type="auto"/>
            <w:gridSpan w:val="11"/>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2. 学位授予说明：</w:t>
            </w:r>
          </w:p>
        </w:tc>
      </w:tr>
      <w:tr>
        <w:trPr>
          <w:trHeight w:val="480" w:hRule="atLeast"/>
        </w:trPr>
        <w:tc>
          <w:tcPr>
            <w:tcW w:w="1100" w:type="dxa"/>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w:t>
            </w:r>
          </w:p>
        </w:tc>
        <w:tc>
          <w:tcPr>
            <w:tcW w:w="920" w:type="dxa"/>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w:t>
            </w:r>
          </w:p>
        </w:tc>
        <w:tc>
          <w:tcPr>
            <w:tcW w:w="0" w:type="auto"/>
            <w:gridSpan w:val="2"/>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授予学位</w:t>
            </w:r>
          </w:p>
        </w:tc>
        <w:tc>
          <w:tcPr>
            <w:tcW w:w="1740" w:type="dxa"/>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学位类型</w:t>
            </w:r>
          </w:p>
        </w:tc>
        <w:tc>
          <w:tcPr>
            <w:tcW w:w="1680" w:type="dxa"/>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专业名称</w:t>
            </w:r>
          </w:p>
        </w:tc>
        <w:tc>
          <w:tcPr>
            <w:tcW w:w="0" w:type="auto"/>
            <w:gridSpan w:val="5"/>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学段审核要求</w:t>
            </w:r>
          </w:p>
        </w:tc>
      </w:tr>
      <w:tr>
        <w:trPr>
          <w:trHeight w:val="480" w:hRule="atLeast"/>
        </w:trPr>
        <w:tc>
          <w:tcPr>
            <w:tcW w:w="1100" w:type="dxa"/>
            <w:vMerge w:val="restart"/>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w:t>
            </w:r>
          </w:p>
        </w:tc>
        <w:tc>
          <w:tcPr>
            <w:tcW w:w="920" w:type="dxa"/>
            <w:vMerge w:val="restart"/>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w:t>
            </w:r>
          </w:p>
        </w:tc>
        <w:tc>
          <w:tcPr>
            <w:tcW w:w="0" w:type="auto"/>
            <w:gridSpan w:val="2"/>
            <w:vMerge w:val="restart"/>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哲学学士</w:t>
            </w:r>
          </w:p>
        </w:tc>
        <w:tc>
          <w:tcPr>
            <w:tcW w:w="1740" w:type="dxa"/>
            <w:vMerge w:val="restart"/>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w:t>
            </w:r>
          </w:p>
        </w:tc>
        <w:tc>
          <w:tcPr>
            <w:tcW w:w="1680" w:type="dxa"/>
            <w:vMerge w:val="restart"/>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哲学（国学方向）</w:t>
            </w:r>
          </w:p>
        </w:tc>
        <w:tc>
          <w:tcPr>
            <w:tcW w:w="0" w:type="auto"/>
            <w:gridSpan w:val="5"/>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□按照不少于总学分比例____%</w:t>
            </w:r>
          </w:p>
        </w:tc>
      </w:tr>
      <w:tr>
        <w:trPr>
          <w:trHeight w:val="240" w:hRule="atLeast"/>
        </w:trPr>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gridSpan w:val="2"/>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gridSpan w:val="5"/>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 xml:space="preserve">☑按照不少于学分数136   </w:t>
            </w:r>
          </w:p>
        </w:tc>
      </w:tr>
      <w:tr>
        <w:trPr>
          <w:trHeight w:val="165" w:hRule="atLeast"/>
        </w:trPr>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gridSpan w:val="2"/>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1460" w:type="dxa"/>
            <w:vMerge w:val="restart"/>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必修课组须通过</w:t>
            </w:r>
          </w:p>
        </w:tc>
        <w:tc>
          <w:tcPr>
            <w:tcW w:w="0" w:type="auto"/>
            <w:gridSpan w:val="4"/>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通识教育课程42学分</w:t>
            </w:r>
          </w:p>
        </w:tc>
      </w:tr>
      <w:tr>
        <w:trPr>
          <w:trHeight w:val="240" w:hRule="atLeast"/>
        </w:trPr>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gridSpan w:val="2"/>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gridSpan w:val="4"/>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专业培养课程55学分</w:t>
            </w:r>
          </w:p>
        </w:tc>
      </w:tr>
      <w:tr>
        <w:trPr>
          <w:trHeight w:val="240" w:hRule="atLeast"/>
        </w:trPr>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gridSpan w:val="2"/>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gridSpan w:val="4"/>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专业进阶模块32学分</w:t>
            </w:r>
          </w:p>
        </w:tc>
      </w:tr>
      <w:tr>
        <w:trPr>
          <w:trHeight w:val="1125" w:hRule="atLeast"/>
        </w:trPr>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gridSpan w:val="2"/>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gridSpan w:val="4"/>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融合创新能力模块7学分</w:t>
            </w:r>
          </w:p>
        </w:tc>
      </w:tr>
      <w:tr>
        <w:trPr>
          <w:trHeight w:val="3045" w:hRule="atLeast"/>
        </w:trPr>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gridSpan w:val="2"/>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gridSpan w:val="5"/>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□其他____________________</w:t>
            </w:r>
          </w:p>
        </w:tc>
      </w:tr>
    </w:tbl>
    <w:p>
      <w:pPr>
        <w:spacing w:after="0"/>
        <w:ind w:left="0"/>
        <w:jc w:val="left"/>
      </w:pPr>
      <w:r>
        <w:rPr>
          <w:rFonts w:ascii="SimSun" w:hAnsi="SimSun"/>
          <w:b/>
          <w:i w:val="false"/>
          <w:color w:val="000000"/>
          <w:sz w:val="24"/>
        </w:rPr>
        <w:t xml:space="preserve">
       五.    学分要求
      </w:t>
      </w:r>
    </w:p>
    <w:p>
      <w:pPr>
        <w:spacing w:after="0"/>
        <w:ind w:left="0"/>
        <w:jc w:val="left"/>
      </w:pPr>
      <w:r>
        <w:drawing>
          <wp:inline distT="0" distB="0" distL="0" distR="0">
            <wp:extent cx="5732145" cy="2816294"/>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2145" cy="2816294"/>
                    </a:xfrm>
                    <a:prstGeom prst="rect">
                      <a:avLst/>
                    </a:prstGeom>
                  </pic:spPr>
                </pic:pic>
              </a:graphicData>
            </a:graphic>
          </wp:inline>
        </w:drawing>
      </w:r>
    </w:p>
    <w:p>
      <w:pPr>
        <w:spacing w:after="0"/>
        <w:ind w:left="0"/>
        <w:jc w:val="left"/>
      </w:pPr>
      <w:r>
        <w:rPr>
          <w:rFonts w:ascii="SimSun" w:hAnsi="SimSun"/>
          <w:b w:val="false"/>
          <w:i w:val="false"/>
          <w:color w:val="000000"/>
          <w:sz w:val="21"/>
        </w:rPr>
        <w:t>1、专业进阶路径：136学分</w:t>
      </w:r>
      <w:r>
        <w:br/>
      </w:r>
      <w:r>
        <w:rPr>
          <w:rFonts w:ascii="SimSun" w:hAnsi="SimSun"/>
          <w:b w:val="false"/>
          <w:i w:val="false"/>
          <w:color w:val="000000"/>
          <w:sz w:val="21"/>
        </w:rPr>
        <w:t xml:space="preserve">  本路径学生需要完成136学分（含实践学分不低于21学分；含美育学分不少于2学分，其中至少在“美学和艺术史论类”或“艺术鉴赏和评论类”课程中修读1学分，并至少参与一项艺术实践活动；劳动教育不少于32学时，并满足劳动周教育要求）。包括通识教育课程42学分，专业培养课程55学分，融合创新能力培养7学分，专业进阶模块I 18学分，专业进阶模块II 14学分。</w:t>
      </w:r>
      <w:r>
        <w:br/>
      </w:r>
      <w:r>
        <w:rPr>
          <w:rFonts w:ascii="SimSun" w:hAnsi="SimSun"/>
          <w:b w:val="false"/>
          <w:i w:val="false"/>
          <w:color w:val="000000"/>
          <w:sz w:val="21"/>
        </w:rPr>
        <w:t>2、本科荣誉项目：136学分</w:t>
      </w:r>
      <w:r>
        <w:br/>
      </w:r>
      <w:r>
        <w:rPr>
          <w:rFonts w:ascii="SimSun" w:hAnsi="SimSun"/>
          <w:b w:val="false"/>
          <w:i w:val="false"/>
          <w:color w:val="000000"/>
          <w:sz w:val="21"/>
        </w:rPr>
        <w:t xml:space="preserve">  在专业进阶路径基础上，修读荣誉课程不少于6门课。荣誉项目课程设置和修读要求请见哲学学院“本科荣誉项目”实施方案。下载地址：https://jwc.fudan.edu.cn/（复旦大学教务处）专业培养-常用文档。鼓励学生选择荣誉项目。 </w:t>
      </w:r>
      <w:r>
        <w:br/>
      </w:r>
      <w:r>
        <w:rPr>
          <w:rFonts w:ascii="SimSun" w:hAnsi="SimSun"/>
          <w:b w:val="false"/>
          <w:i w:val="false"/>
          <w:color w:val="000000"/>
          <w:sz w:val="21"/>
        </w:rPr>
        <w:t>3、哲学+AI双学士学位项目：171学分</w:t>
      </w:r>
      <w:r>
        <w:br/>
      </w:r>
      <w:r>
        <w:rPr>
          <w:rFonts w:ascii="SimSun" w:hAnsi="SimSun"/>
          <w:b w:val="false"/>
          <w:i w:val="false"/>
          <w:color w:val="000000"/>
          <w:sz w:val="21"/>
        </w:rPr>
        <w:t xml:space="preserve">  本路径学生必须修满教学计划规定的171学分，包括通识教育课程（含通识教育核心课程和专项教育课程）40学分、专业培养课程101学分、多元发展路径课程23学分、融合创新能力课程7学分，总学分不少于171学分（含实践学分不少于43学分；含美育学分不少于2学分，其中至少在“美学和艺术史论类”或“艺术鉴赏和评论类”课程中修读1学分，并至少参与一项艺术实践活动；劳动教育不少于32学时，并满足劳动周教育要求），达到学位要求者授予哲学、工学学士学位。</w:t>
      </w:r>
    </w:p>
    <w:p>
      <w:pPr>
        <w:spacing w:after="0"/>
        <w:ind w:left="0"/>
        <w:jc w:val="left"/>
      </w:pPr>
      <w:r>
        <w:rPr>
          <w:rFonts w:ascii="SimSun" w:hAnsi="SimSun"/>
          <w:b/>
          <w:i w:val="false"/>
          <w:color w:val="000000"/>
          <w:sz w:val="24"/>
        </w:rPr>
        <w:t xml:space="preserve">
       六.    学位要求
      </w:t>
      </w:r>
    </w:p>
    <w:p>
      <w:pPr>
        <w:spacing w:after="0"/>
        <w:ind w:left="0"/>
        <w:jc w:val="left"/>
      </w:pPr>
      <w:r>
        <w:rPr>
          <w:rFonts w:ascii="SimSun" w:hAnsi="SimSun"/>
          <w:b w:val="false"/>
          <w:i w:val="false"/>
          <w:color w:val="000000"/>
          <w:sz w:val="21"/>
        </w:rPr>
        <w:t xml:space="preserve">本科学位                                        </w:t>
      </w:r>
      <w:r>
        <w:br/>
      </w:r>
      <w:r>
        <w:rPr>
          <w:rFonts w:ascii="SimSun" w:hAnsi="SimSun"/>
          <w:b w:val="false"/>
          <w:i w:val="false"/>
          <w:color w:val="000000"/>
          <w:sz w:val="21"/>
        </w:rPr>
        <w:t xml:space="preserve"> 4年级结束时，如达到学士学位要求者授予哲学学士学位。                          </w:t>
      </w:r>
      <w:r>
        <w:br/>
      </w:r>
      <w:r>
        <w:rPr>
          <w:rFonts w:ascii="SimSun" w:hAnsi="SimSun"/>
          <w:b w:val="false"/>
          <w:i w:val="false"/>
          <w:color w:val="000000"/>
          <w:sz w:val="21"/>
        </w:rPr>
        <w:t xml:space="preserve">（1）修满规定的学分，达到本科教学培养方案规定的各项要求。                    </w:t>
      </w:r>
      <w:r>
        <w:br/>
      </w:r>
      <w:r>
        <w:rPr>
          <w:rFonts w:ascii="SimSun" w:hAnsi="SimSun"/>
          <w:b w:val="false"/>
          <w:i w:val="false"/>
          <w:color w:val="000000"/>
          <w:sz w:val="21"/>
        </w:rPr>
        <w:t>（2）以符合学生毕业时所在专业教学培养方案规定的所有课程的有效成绩为准计算平均绩点，且此平均绩点大于或等于2.0。</w:t>
      </w:r>
      <w:r>
        <w:br/>
      </w:r>
      <w:r>
        <w:rPr>
          <w:rFonts w:ascii="SimSun" w:hAnsi="SimSun"/>
          <w:b w:val="false"/>
          <w:i w:val="false"/>
          <w:color w:val="000000"/>
          <w:sz w:val="21"/>
        </w:rPr>
        <w:t xml:space="preserve">（3）“强基计划”学生入校后按照“2+X+Y”培养方案中的“荣誉项目”路径修读各类课程。“强基计划”学生实行动态进出制，每学年根据学习成绩进行考核，不合格的学生将转出“强基计划”（详见《复旦大学哲学学院“强基计划”学生管理办法（试行）》）。“强基计划”学生在大一结束时，按照学生意愿可在哲学专业内部各方向进行分流，专业分流后按照各专业方向荣誉项目实施方案进行培养。“强基计划”同学经考核合格，可100%入选本学院“优秀大学生夏令营”，参加推荐免试攻读研究生选拔；满足相关要求的“强基计划”学生将按规定确保获得优先推荐；特别优秀的学生可进入直博生通道；“强基计划”学生可在大四学年修读本专业研究生基础课程，如在本校深造，则按照复旦大学研究生院规定计入研究生成绩。        </w:t>
      </w:r>
    </w:p>
    <w:p>
      <w:pPr>
        <w:spacing w:after="0"/>
        <w:ind w:left="0"/>
        <w:jc w:val="left"/>
      </w:pPr>
      <w:r>
        <w:rPr>
          <w:rFonts w:ascii="SimSun" w:hAnsi="SimSun"/>
          <w:b/>
          <w:i w:val="false"/>
          <w:color w:val="000000"/>
          <w:sz w:val="24"/>
        </w:rPr>
        <w:t xml:space="preserve">
       七.    课程体系与科研训练体系
      </w:t>
      </w:r>
    </w:p>
    <w:p>
      <w:pPr>
        <w:spacing w:after="0"/>
        <w:ind w:left="0"/>
        <w:jc w:val="left"/>
      </w:pPr>
      <w:r>
        <w:drawing>
          <wp:inline distT="0" distB="0" distL="0" distR="0">
            <wp:extent cx="5732145" cy="3143037"/>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2145" cy="3143037"/>
                    </a:xfrm>
                    <a:prstGeom prst="rect">
                      <a:avLst/>
                    </a:prstGeom>
                  </pic:spPr>
                </pic:pic>
              </a:graphicData>
            </a:graphic>
          </wp:inline>
        </w:drawing>
      </w:r>
    </w:p>
    <w:p>
      <w:pPr>
        <w:spacing w:after="0"/>
        <w:ind w:left="0"/>
        <w:jc w:val="left"/>
      </w:pPr>
      <w:r>
        <w:rPr>
          <w:rFonts w:ascii="SimSun" w:hAnsi="SimSun"/>
          <w:b w:val="false"/>
          <w:i w:val="false"/>
          <w:color w:val="000000"/>
          <w:sz w:val="21"/>
        </w:rPr>
        <w:t>1.课程体系</w:t>
      </w:r>
      <w:r>
        <w:br/>
      </w:r>
      <w:r>
        <w:rPr>
          <w:rFonts w:ascii="SimSun" w:hAnsi="SimSun"/>
          <w:b w:val="false"/>
          <w:i w:val="false"/>
          <w:color w:val="000000"/>
          <w:sz w:val="21"/>
        </w:rPr>
        <w:t xml:space="preserve">  三阶课程：以“导论”、“哲学史”为代表的大类基础课程为一阶课程；五大专业及方向（哲学、宗教学、科学哲学与逻辑学、国学、艺术哲学）核心课程为二阶课程；五大专业方向的进阶研讨类课程为三阶课程。</w:t>
      </w:r>
      <w:r>
        <w:br/>
      </w:r>
      <w:r>
        <w:rPr>
          <w:rFonts w:ascii="SimSun" w:hAnsi="SimSun"/>
          <w:b w:val="false"/>
          <w:i w:val="false"/>
          <w:color w:val="000000"/>
          <w:sz w:val="21"/>
        </w:rPr>
        <w:t xml:space="preserve">  两翼延伸：学术能力培养+社会实践训练，通过数智赋能的通识教育、专业培养两方面帮助学生固牢个人发展基础。此外，学生可以进一步根据自己的兴趣或个人发展规划，在导师指导下选择某一多元发展路径，根据社会经济发展需求和个人志趣实现全方位成长。</w:t>
      </w:r>
      <w:r>
        <w:br/>
      </w:r>
      <w:r>
        <w:rPr>
          <w:rFonts w:ascii="SimSun" w:hAnsi="SimSun"/>
          <w:b w:val="false"/>
          <w:i w:val="false"/>
          <w:color w:val="000000"/>
          <w:sz w:val="21"/>
        </w:rPr>
        <w:t>2.科研训练体系</w:t>
      </w:r>
      <w:r>
        <w:br/>
      </w:r>
      <w:r>
        <w:rPr>
          <w:rFonts w:ascii="SimSun" w:hAnsi="SimSun"/>
          <w:b w:val="false"/>
          <w:i w:val="false"/>
          <w:color w:val="000000"/>
          <w:sz w:val="21"/>
        </w:rPr>
        <w:t xml:space="preserve">  围绕复芏计划展开多种学术项目：结合曦源、望道等学术项目的公开征集课题以及个人学术兴趣申请学术项目，获取相关导师的指导，支撑具有多学科、全球化视野的“干细胞式”拔尖创新人才的培养。</w:t>
      </w:r>
      <w:r>
        <w:br/>
      </w:r>
      <w:r>
        <w:rPr>
          <w:rFonts w:ascii="SimSun" w:hAnsi="SimSun"/>
          <w:b w:val="false"/>
          <w:i w:val="false"/>
          <w:color w:val="000000"/>
          <w:sz w:val="21"/>
        </w:rPr>
        <w:t xml:space="preserve">  提供大量读书班和论文研讨会：导师们举办各种主题的读书班，带领学生们深入研读哲学经典著作，帮助掌握阅读哲学原典的方法；学院建立机制保障，学生自发申请各类论文研讨会，互相点评。</w:t>
      </w:r>
    </w:p>
    <w:p>
      <w:pPr>
        <w:spacing w:after="0"/>
        <w:ind w:left="0"/>
        <w:jc w:val="left"/>
      </w:pPr>
      <w:r>
        <w:rPr>
          <w:rFonts w:ascii="SimSun" w:hAnsi="SimSun"/>
          <w:b/>
          <w:i w:val="false"/>
          <w:color w:val="000000"/>
          <w:sz w:val="24"/>
        </w:rPr>
        <w:t xml:space="preserve">
       八.    课程设置与修读要求
      </w:t>
      </w:r>
    </w:p>
    <w:p>
      <w:pPr>
        <w:spacing w:after="0"/>
        <w:ind w:left="0"/>
        <w:jc w:val="left"/>
      </w:pPr>
      <w:r>
        <w:rPr>
          <w:rFonts w:ascii="SimSun" w:hAnsi="SimSun"/>
          <w:b w:val="false"/>
          <w:i w:val="false"/>
          <w:color w:val="000000"/>
          <w:sz w:val="21"/>
        </w:rPr>
        <w:t>备注：每学期选修学分不得超过32学分。</w:t>
      </w:r>
    </w:p>
    <w:p>
      <w:pPr>
        <w:spacing w:after="0"/>
        <w:ind w:left="0"/>
        <w:jc w:val="left"/>
      </w:pPr>
      <w:r>
        <w:rPr>
          <w:rFonts w:ascii="SimSun" w:hAnsi="SimSun"/>
          <w:b/>
          <w:i w:val="false"/>
          <w:color w:val="000000"/>
          <w:sz w:val="21"/>
        </w:rPr>
        <w:t xml:space="preserve">
       (一) 通识教育课程（42学分）
      </w:t>
      </w:r>
    </w:p>
    <w:p>
      <w:pPr>
        <w:spacing w:after="0"/>
        <w:ind w:left="0"/>
        <w:jc w:val="left"/>
      </w:pPr>
      <w:r>
        <w:rPr>
          <w:rFonts w:ascii="SimSun" w:hAnsi="SimSun"/>
          <w:b w:val="false"/>
          <w:i w:val="false"/>
          <w:color w:val="000000"/>
          <w:sz w:val="21"/>
        </w:rPr>
        <w:t xml:space="preserve">
       通识教育课程包括通识教育核心课程和专项教育课程。
      </w:t>
      </w:r>
    </w:p>
    <w:p>
      <w:pPr>
        <w:spacing w:after="0"/>
        <w:ind w:left="0"/>
        <w:jc w:val="left"/>
      </w:pPr>
      <w:r>
        <w:rPr>
          <w:rFonts w:ascii="SimSun" w:hAnsi="SimSun"/>
          <w:b/>
          <w:i w:val="false"/>
          <w:color w:val="000000"/>
          <w:sz w:val="21"/>
        </w:rPr>
        <w:t xml:space="preserve">
       1.  通识教育核心课程（27学分）
      </w:t>
      </w:r>
    </w:p>
    <w:p>
      <w:pPr>
        <w:spacing w:after="0"/>
        <w:ind w:left="0"/>
        <w:jc w:val="left"/>
      </w:pPr>
      <w:r>
        <w:rPr>
          <w:rFonts w:ascii="SimSun" w:hAnsi="SimSun"/>
          <w:b w:val="false"/>
          <w:i w:val="false"/>
          <w:color w:val="000000"/>
          <w:sz w:val="21"/>
        </w:rPr>
        <w:t xml:space="preserve">
       要求修读27学分，含思想政治理论课与创新课16学分，七大模块课程10学分（每模块最多修读1门课程，回避哲学学院所开设的课程，即修读哲学学院开设的GECC课程将不计入七大模块10个学分中，只可认定为任意选修课程学分），大学生国家安全教育1学分。课程设置详见核心课程七大模块和专业修读建议。
      </w:t>
      </w:r>
    </w:p>
    <w:p>
      <w:pPr>
        <w:spacing w:after="0"/>
        <w:ind w:left="0"/>
        <w:jc w:val="left"/>
      </w:pPr>
      <w:r>
        <w:rPr>
          <w:rFonts w:ascii="SimSun" w:hAnsi="SimSun"/>
          <w:b/>
          <w:i w:val="false"/>
          <w:color w:val="000000"/>
          <w:sz w:val="21"/>
        </w:rPr>
        <w:t xml:space="preserve">
       2.  通识教育专项教育课程（15学分）
      </w:t>
      </w:r>
    </w:p>
    <w:p>
      <w:pPr>
        <w:spacing w:after="0"/>
        <w:ind w:left="0"/>
        <w:jc w:val="left"/>
      </w:pPr>
      <w:r>
        <w:rPr>
          <w:rFonts w:ascii="SimSun" w:hAnsi="SimSun"/>
          <w:b w:val="false"/>
          <w:i w:val="false"/>
          <w:color w:val="000000"/>
          <w:sz w:val="21"/>
        </w:rPr>
        <w:t xml:space="preserve">
       要求修读15学分，包括大学外语、人工智能教学专项 、体育、军事课程、心理健康教育、实验室安全教育、留学生中国语言与文化素养等课程。课程设置详见专项教育课程和专业修读建议。
      </w:t>
      </w:r>
    </w:p>
    <w:p>
      <w:pPr>
        <w:spacing w:after="0"/>
        <w:ind w:left="0"/>
        <w:jc w:val="left"/>
      </w:pPr>
      <w:r>
        <w:rPr>
          <w:rFonts w:ascii="SimSun" w:hAnsi="SimSun"/>
          <w:b/>
          <w:i w:val="false"/>
          <w:color w:val="000000"/>
          <w:sz w:val="21"/>
        </w:rPr>
        <w:t xml:space="preserve">
       (二) 专业培养课程（55学分）
      </w:t>
      </w:r>
    </w:p>
    <w:p>
      <w:pPr>
        <w:spacing w:after="0"/>
        <w:ind w:left="0"/>
        <w:jc w:val="left"/>
      </w:pPr>
      <w:r>
        <w:rPr>
          <w:rFonts w:ascii="SimSun" w:hAnsi="SimSun"/>
          <w:b w:val="false"/>
          <w:i w:val="false"/>
          <w:color w:val="000000"/>
          <w:sz w:val="21"/>
        </w:rPr>
        <w:t xml:space="preserve">
       专业培养课程包括学科基础课程和专业核心教育课程。
      </w:t>
      </w:r>
    </w:p>
    <w:p>
      <w:pPr>
        <w:spacing w:after="0"/>
        <w:ind w:left="0"/>
        <w:jc w:val="left"/>
      </w:pPr>
      <w:r>
        <w:rPr>
          <w:rFonts w:ascii="SimSun" w:hAnsi="SimSun"/>
          <w:b/>
          <w:i w:val="false"/>
          <w:color w:val="000000"/>
          <w:sz w:val="21"/>
        </w:rPr>
        <w:t xml:space="preserve">
       1.  学科基础课程（14学分）
      </w:t>
      </w:r>
    </w:p>
    <w:p>
      <w:pPr>
        <w:spacing w:after="0"/>
        <w:ind w:left="0"/>
        <w:jc w:val="left"/>
      </w:pPr>
      <w:r>
        <w:rPr>
          <w:rFonts w:ascii="SimSun" w:hAnsi="SimSun"/>
          <w:b/>
          <w:i w:val="false"/>
          <w:color w:val="000000"/>
          <w:sz w:val="21"/>
        </w:rPr>
        <w:t xml:space="preserve">
       (1) 人文基础课程（14学分）
      </w:t>
      </w:r>
    </w:p>
    <w:p>
      <w:pPr>
        <w:spacing w:after="0"/>
        <w:ind w:left="0"/>
        <w:jc w:val="left"/>
      </w:pPr>
      <w:r>
        <w:rPr>
          <w:rFonts w:ascii="SimSun" w:hAnsi="SimSun"/>
          <w:b w:val="false"/>
          <w:i w:val="false"/>
          <w:color w:val="000000"/>
          <w:sz w:val="21"/>
        </w:rPr>
        <w:t xml:space="preserve">
       要求修读人文类基础课程14学分，必修课程5门，其中“哲学导论”和“逻辑学”，要求在第一学期修完。
      </w:t>
      </w:r>
    </w:p>
    <w:p>
      <w:pPr>
        <w:spacing w:after="0"/>
        <w:ind w:left="0"/>
        <w:jc w:val="left"/>
      </w:pPr>
      <w:r>
        <w:rPr>
          <w:rFonts w:ascii="SimSun" w:hAnsi="SimSun"/>
          <w:b/>
          <w:i w:val="false"/>
          <w:color w:val="000000"/>
          <w:sz w:val="21"/>
        </w:rPr>
        <w:t xml:space="preserve">
       a) 基础理论课程（跨院系必修）（14学分）
      </w:t>
      </w:r>
    </w:p>
    <w:tbl>
      <w:tblPr>
        <w:tblW w:w="0" w:type="auto"/>
        <w:tblCellSpacing w:w="0" w:type="auto"/>
        <w:tblBorders>
          <w:top w:val="none"/>
          <w:left w:val="none"/>
          <w:bottom w:val="none"/>
          <w:right w:val="none"/>
          <w:insideH w:val="none"/>
          <w:insideV w:val="none"/>
        </w:tblBorders>
      </w:tblPr>
      <w:tblGrid>
        <w:gridCol w:w="3227"/>
        <w:gridCol w:w="806"/>
        <w:gridCol w:w="806"/>
        <w:gridCol w:w="1129"/>
        <w:gridCol w:w="1696"/>
        <w:gridCol w:w="806"/>
        <w:gridCol w:w="806"/>
        <w:gridCol w:w="806"/>
        <w:gridCol w:w="806"/>
        <w:gridCol w:w="1130"/>
        <w:gridCol w:w="1616"/>
      </w:tblGrid>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中国文学经典</w:t>
            </w:r>
            <w:r>
              <w:br/>
            </w:r>
            <w:r>
              <w:rPr>
                <w:rFonts w:ascii="SimSun" w:hAnsi="SimSun"/>
                <w:b w:val="false"/>
                <w:i w:val="false"/>
                <w:color w:val="000000"/>
                <w:sz w:val="21"/>
              </w:rPr>
              <w:t>Chinese Literary Classics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CHIN10005</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中国古代文明</w:t>
            </w:r>
            <w:r>
              <w:br/>
            </w:r>
            <w:r>
              <w:rPr>
                <w:rFonts w:ascii="SimSun" w:hAnsi="SimSun"/>
                <w:b w:val="false"/>
                <w:i w:val="false"/>
                <w:color w:val="000000"/>
                <w:sz w:val="21"/>
              </w:rPr>
              <w:t>The Chinese Tradional Civilization</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HIST10006</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哲学导论</w:t>
            </w:r>
            <w:r>
              <w:br/>
            </w:r>
            <w:r>
              <w:rPr>
                <w:rFonts w:ascii="SimSun" w:hAnsi="SimSun"/>
                <w:b w:val="false"/>
                <w:i w:val="false"/>
                <w:color w:val="000000"/>
                <w:sz w:val="21"/>
              </w:rPr>
              <w:t>Introduction to Philosophy</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PHIL10002</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逻辑学</w:t>
            </w:r>
            <w:r>
              <w:br/>
            </w:r>
            <w:r>
              <w:rPr>
                <w:rFonts w:ascii="SimSun" w:hAnsi="SimSun"/>
                <w:b w:val="false"/>
                <w:i w:val="false"/>
                <w:color w:val="000000"/>
                <w:sz w:val="21"/>
              </w:rPr>
              <w:t>Logic</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PHIL10003</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宗教学导论</w:t>
            </w:r>
            <w:r>
              <w:br/>
            </w:r>
            <w:r>
              <w:rPr>
                <w:rFonts w:ascii="SimSun" w:hAnsi="SimSun"/>
                <w:b w:val="false"/>
                <w:i w:val="false"/>
                <w:color w:val="000000"/>
                <w:sz w:val="21"/>
              </w:rPr>
              <w:t>Introduction to Religious Studies</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PHIL10004</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3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val="false"/>
          <w:i w:val="false"/>
          <w:color w:val="000000"/>
          <w:sz w:val="21"/>
        </w:rPr>
        <w:t xml:space="preserve">
       逻辑学和数理逻辑课程修读说明：（1）一般修读顺序：“逻辑学”（3学分）大一上学期必修，“数理逻辑”（2学分）大一下学期必修；（2）可选修读顺序： 鼓励数学基础较好的同学在大一上学期修读“数理逻辑（H）”（4学分荣誉课）。学生可自由选择以上两种修读方式之一，选修“数理逻辑（H）”（4学分荣誉课）可免修“逻辑学”（3学分）和“数理逻辑”（2学分普通课）。
      </w:t>
      </w:r>
    </w:p>
    <w:p>
      <w:pPr>
        <w:spacing w:after="0"/>
        <w:ind w:left="0"/>
        <w:jc w:val="left"/>
      </w:pPr>
      <w:r>
        <w:rPr>
          <w:rFonts w:ascii="SimSun" w:hAnsi="SimSun"/>
          <w:b/>
          <w:i w:val="false"/>
          <w:color w:val="000000"/>
          <w:sz w:val="21"/>
        </w:rPr>
        <w:t xml:space="preserve">
       2.  专业核心教育课程（41学分）
      </w:t>
      </w:r>
    </w:p>
    <w:p>
      <w:pPr>
        <w:spacing w:after="0"/>
        <w:ind w:left="0"/>
        <w:jc w:val="left"/>
      </w:pPr>
      <w:r>
        <w:rPr>
          <w:rFonts w:ascii="SimSun" w:hAnsi="SimSun"/>
          <w:b w:val="false"/>
          <w:i w:val="false"/>
          <w:color w:val="000000"/>
          <w:sz w:val="21"/>
        </w:rPr>
        <w:t xml:space="preserve">
       要求修读41学分（部分课程学分可用荣誉课程学分替换），课程设置如下：
      </w:t>
      </w:r>
    </w:p>
    <w:p>
      <w:pPr>
        <w:spacing w:after="0"/>
        <w:ind w:left="0"/>
        <w:jc w:val="left"/>
      </w:pPr>
      <w:r>
        <w:rPr>
          <w:rFonts w:ascii="SimSun" w:hAnsi="SimSun"/>
          <w:b/>
          <w:i w:val="false"/>
          <w:color w:val="000000"/>
          <w:sz w:val="21"/>
        </w:rPr>
        <w:t xml:space="preserve">
       (1) 必修课程（37学分）
      </w:t>
      </w:r>
    </w:p>
    <w:tbl>
      <w:tblPr>
        <w:tblW w:w="0" w:type="auto"/>
        <w:tblCellSpacing w:w="0" w:type="auto"/>
        <w:tblBorders>
          <w:top w:val="none"/>
          <w:left w:val="none"/>
          <w:bottom w:val="none"/>
          <w:right w:val="none"/>
          <w:insideH w:val="none"/>
          <w:insideV w:val="none"/>
        </w:tblBorders>
      </w:tblPr>
      <w:tblGrid>
        <w:gridCol w:w="3242"/>
        <w:gridCol w:w="810"/>
        <w:gridCol w:w="810"/>
        <w:gridCol w:w="1134"/>
        <w:gridCol w:w="1641"/>
        <w:gridCol w:w="810"/>
        <w:gridCol w:w="810"/>
        <w:gridCol w:w="810"/>
        <w:gridCol w:w="810"/>
        <w:gridCol w:w="1135"/>
        <w:gridCol w:w="1622"/>
      </w:tblGrid>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先秦哲学</w:t>
            </w:r>
            <w:r>
              <w:br/>
            </w:r>
            <w:r>
              <w:rPr>
                <w:rFonts w:ascii="SimSun" w:hAnsi="SimSun"/>
                <w:b w:val="false"/>
                <w:i w:val="false"/>
                <w:color w:val="000000"/>
                <w:sz w:val="21"/>
              </w:rPr>
              <w:t>Pre-Qin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PHIL20014</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西方哲学史（上）</w:t>
            </w:r>
            <w:r>
              <w:br/>
            </w:r>
            <w:r>
              <w:rPr>
                <w:rFonts w:ascii="SimSun" w:hAnsi="SimSun"/>
                <w:b w:val="false"/>
                <w:i w:val="false"/>
                <w:color w:val="000000"/>
                <w:sz w:val="21"/>
              </w:rPr>
              <w:t>History of Western Philosophy Ⅰ</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48.0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PHIL10001</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伦理学基础</w:t>
            </w:r>
            <w:r>
              <w:br/>
            </w:r>
            <w:r>
              <w:rPr>
                <w:rFonts w:ascii="SimSun" w:hAnsi="SimSun"/>
                <w:b w:val="false"/>
                <w:i w:val="false"/>
                <w:color w:val="000000"/>
                <w:sz w:val="21"/>
              </w:rPr>
              <w:t>Introduction to Ethics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PHIL20012</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汉晋隋唐哲学</w:t>
            </w:r>
            <w:r>
              <w:br/>
            </w:r>
            <w:r>
              <w:rPr>
                <w:rFonts w:ascii="SimSun" w:hAnsi="SimSun"/>
                <w:b w:val="false"/>
                <w:i w:val="false"/>
                <w:color w:val="000000"/>
                <w:sz w:val="21"/>
              </w:rPr>
              <w:t>Philosophy of the Han, Jin, Sui and Tang Dynasties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PHIL20015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西方哲学史（下）</w:t>
            </w:r>
            <w:r>
              <w:br/>
            </w:r>
            <w:r>
              <w:rPr>
                <w:rFonts w:ascii="SimSun" w:hAnsi="SimSun"/>
                <w:b w:val="false"/>
                <w:i w:val="false"/>
                <w:color w:val="000000"/>
                <w:sz w:val="21"/>
              </w:rPr>
              <w:t>History of Western Philosophy Ⅱ</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PHIL20002</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马克思主义哲学导论</w:t>
            </w:r>
            <w:r>
              <w:br/>
            </w:r>
            <w:r>
              <w:rPr>
                <w:rFonts w:ascii="SimSun" w:hAnsi="SimSun"/>
                <w:b w:val="false"/>
                <w:i w:val="false"/>
                <w:color w:val="000000"/>
                <w:sz w:val="21"/>
              </w:rPr>
              <w:t>Introduction to Marxist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PHIL20003</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小学基础</w:t>
            </w:r>
            <w:r>
              <w:br/>
            </w:r>
            <w:r>
              <w:rPr>
                <w:rFonts w:ascii="SimSun" w:hAnsi="SimSun"/>
                <w:b w:val="false"/>
                <w:i w:val="false"/>
                <w:color w:val="000000"/>
                <w:sz w:val="21"/>
              </w:rPr>
              <w:t>Basic Chinese Philology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PHIL20007</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宋元明清哲学</w:t>
            </w:r>
            <w:r>
              <w:br/>
            </w:r>
            <w:r>
              <w:rPr>
                <w:rFonts w:ascii="SimSun" w:hAnsi="SimSun"/>
                <w:b w:val="false"/>
                <w:i w:val="false"/>
                <w:color w:val="000000"/>
                <w:sz w:val="21"/>
              </w:rPr>
              <w:t>Philosophy in Song, Yuan, Ming and Qing Dynasties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PHIL20016</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国学通论</w:t>
            </w:r>
            <w:r>
              <w:br/>
            </w:r>
            <w:r>
              <w:rPr>
                <w:rFonts w:ascii="SimSun" w:hAnsi="SimSun"/>
                <w:b w:val="false"/>
                <w:i w:val="false"/>
                <w:color w:val="000000"/>
                <w:sz w:val="21"/>
              </w:rPr>
              <w:t>Introduction to Traditional Chinese Learning</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PHIL20006</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《论语》</w:t>
            </w:r>
            <w:r>
              <w:br/>
            </w:r>
            <w:r>
              <w:rPr>
                <w:rFonts w:ascii="SimSun" w:hAnsi="SimSun"/>
                <w:b w:val="false"/>
                <w:i w:val="false"/>
                <w:color w:val="000000"/>
                <w:sz w:val="21"/>
              </w:rPr>
              <w:t>Introduction to The Confucian Analects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PHIL20008</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中国近现代哲学</w:t>
            </w:r>
            <w:r>
              <w:br/>
            </w:r>
            <w:r>
              <w:rPr>
                <w:rFonts w:ascii="SimSun" w:hAnsi="SimSun"/>
                <w:b w:val="false"/>
                <w:i w:val="false"/>
                <w:color w:val="000000"/>
                <w:sz w:val="21"/>
              </w:rPr>
              <w:t>Chinese Modern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PHIL20017</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哲学阅读和写作</w:t>
            </w:r>
            <w:r>
              <w:br/>
            </w:r>
            <w:r>
              <w:rPr>
                <w:rFonts w:ascii="SimSun" w:hAnsi="SimSun"/>
                <w:b w:val="false"/>
                <w:i w:val="false"/>
                <w:color w:val="000000"/>
                <w:sz w:val="21"/>
              </w:rPr>
              <w:t>Reading and Writing Philosophically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PHIL20018</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《大学》与《中庸》</w:t>
            </w:r>
            <w:r>
              <w:br/>
            </w:r>
            <w:r>
              <w:rPr>
                <w:rFonts w:ascii="SimSun" w:hAnsi="SimSun"/>
                <w:b w:val="false"/>
                <w:i w:val="false"/>
                <w:color w:val="000000"/>
                <w:sz w:val="21"/>
              </w:rPr>
              <w:t>Introduction to The Great Learning and Doctrine of the Mean　</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PHIL30018</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中国哲学史料学</w:t>
            </w:r>
            <w:r>
              <w:br/>
            </w:r>
            <w:r>
              <w:rPr>
                <w:rFonts w:ascii="SimSun" w:hAnsi="SimSun"/>
                <w:b w:val="false"/>
                <w:i w:val="false"/>
                <w:color w:val="000000"/>
                <w:sz w:val="21"/>
              </w:rPr>
              <w:t>Historical Materials of Chinese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PHIL30023</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《老子》</w:t>
            </w:r>
            <w:r>
              <w:br/>
            </w:r>
            <w:r>
              <w:rPr>
                <w:rFonts w:ascii="SimSun" w:hAnsi="SimSun"/>
                <w:b w:val="false"/>
                <w:i w:val="false"/>
                <w:color w:val="000000"/>
                <w:sz w:val="21"/>
              </w:rPr>
              <w:t>Introduction to Laozi</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PHIL30039</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《孟子》</w:t>
            </w:r>
            <w:r>
              <w:br/>
            </w:r>
            <w:r>
              <w:rPr>
                <w:rFonts w:ascii="SimSun" w:hAnsi="SimSun"/>
                <w:b w:val="false"/>
                <w:i w:val="false"/>
                <w:color w:val="000000"/>
                <w:sz w:val="21"/>
              </w:rPr>
              <w:t>Introduction to Meng Zi</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PHIL30042</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《庄子》</w:t>
            </w:r>
            <w:r>
              <w:br/>
            </w:r>
            <w:r>
              <w:rPr>
                <w:rFonts w:ascii="SimSun" w:hAnsi="SimSun"/>
                <w:b w:val="false"/>
                <w:i w:val="false"/>
                <w:color w:val="000000"/>
                <w:sz w:val="21"/>
              </w:rPr>
              <w:t>The Zhuang Zi</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PHIL30083</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3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限定选修课（4学分）
      </w:t>
      </w:r>
    </w:p>
    <w:tbl>
      <w:tblPr>
        <w:tblW w:w="0" w:type="auto"/>
        <w:tblCellSpacing w:w="0" w:type="auto"/>
        <w:tblBorders>
          <w:top w:val="none"/>
          <w:left w:val="none"/>
          <w:bottom w:val="none"/>
          <w:right w:val="none"/>
          <w:insideH w:val="none"/>
          <w:insideV w:val="none"/>
        </w:tblBorders>
      </w:tblPr>
      <w:tblGrid>
        <w:gridCol w:w="3242"/>
        <w:gridCol w:w="810"/>
        <w:gridCol w:w="810"/>
        <w:gridCol w:w="1134"/>
        <w:gridCol w:w="1641"/>
        <w:gridCol w:w="810"/>
        <w:gridCol w:w="810"/>
        <w:gridCol w:w="810"/>
        <w:gridCol w:w="810"/>
        <w:gridCol w:w="1135"/>
        <w:gridCol w:w="1622"/>
      </w:tblGrid>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《礼记》</w:t>
            </w:r>
            <w:r>
              <w:br/>
            </w:r>
            <w:r>
              <w:rPr>
                <w:rFonts w:ascii="SimSun" w:hAnsi="SimSun"/>
                <w:b w:val="false"/>
                <w:i w:val="false"/>
                <w:color w:val="000000"/>
                <w:sz w:val="21"/>
              </w:rPr>
              <w:t>Introduction to Li Ji</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PHIL30035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《周易》</w:t>
            </w:r>
            <w:r>
              <w:br/>
            </w:r>
            <w:r>
              <w:rPr>
                <w:rFonts w:ascii="SimSun" w:hAnsi="SimSun"/>
                <w:b w:val="false"/>
                <w:i w:val="false"/>
                <w:color w:val="000000"/>
                <w:sz w:val="21"/>
              </w:rPr>
              <w:t>Introduction to The Book of Changes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PHIL30036</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《荀子》</w:t>
            </w:r>
            <w:r>
              <w:br/>
            </w:r>
            <w:r>
              <w:rPr>
                <w:rFonts w:ascii="SimSun" w:hAnsi="SimSun"/>
                <w:b w:val="false"/>
                <w:i w:val="false"/>
                <w:color w:val="000000"/>
                <w:sz w:val="21"/>
              </w:rPr>
              <w:t>Introduction to Xunzi</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PHIL30041</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形而上学</w:t>
            </w:r>
            <w:r>
              <w:br/>
            </w:r>
            <w:r>
              <w:rPr>
                <w:rFonts w:ascii="SimSun" w:hAnsi="SimSun"/>
                <w:b w:val="false"/>
                <w:i w:val="false"/>
                <w:color w:val="000000"/>
                <w:sz w:val="21"/>
              </w:rPr>
              <w:t>Metaphysics</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PHIL30053</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(三) 强基专业发展课程
      </w:t>
      </w:r>
    </w:p>
    <w:p>
      <w:pPr>
        <w:spacing w:after="0"/>
        <w:ind w:left="0"/>
        <w:jc w:val="left"/>
      </w:pPr>
      <w:r>
        <w:rPr>
          <w:rFonts w:ascii="SimSun" w:hAnsi="SimSun"/>
          <w:b w:val="false"/>
          <w:i w:val="false"/>
          <w:color w:val="000000"/>
          <w:sz w:val="21"/>
        </w:rPr>
        <w:t xml:space="preserve">
       按照“荣誉项目路径”修读各类课程，修满34学分。要求在"专业进阶课程I"课程中修读至少18学分，在"专业进阶课程II"课程中修读至少14学分（其中须选修1门专业外语，不限方向，限选1门）。同时修读荣誉课程的学分数不低于24学分，即在哲学学院开设的14门荣誉课程中至少修读6门。 
       </w:t>
      </w:r>
      <w:r>
        <w:br/>
      </w:r>
      <w:r>
        <w:rPr>
          <w:rFonts w:ascii="SimSun" w:hAnsi="SimSun"/>
          <w:b w:val="false"/>
          <w:i w:val="false"/>
          <w:color w:val="000000"/>
          <w:sz w:val="21"/>
        </w:rPr>
        <w:t xml:space="preserve">荣誉课程的学分可按本院制订的课程替代方案进行学分转换与认定，但学分转换与认定只作为本科毕业资格审核的依据，成绩单则如实记载学生所修课程与成绩，不作变更。学生修读荣誉课程的学分如超过用于替换的《普通培养方案》中相应课程的学分可转换成任意选修学分，但成绩不作变更。 荣誉项目课程设置和修读要求请见哲学学院本科“荣誉项目”实施方案。下载地址：https://jwc.fudan.edu.cn/（复旦大学教务处）-专业培养-常用文档。
      </w:t>
      </w:r>
    </w:p>
    <w:p>
      <w:pPr>
        <w:spacing w:after="0"/>
        <w:ind w:left="0"/>
        <w:jc w:val="left"/>
      </w:pPr>
      <w:r>
        <w:rPr>
          <w:rFonts w:ascii="SimSun" w:hAnsi="SimSun"/>
          <w:b/>
          <w:i w:val="false"/>
          <w:color w:val="000000"/>
          <w:sz w:val="21"/>
        </w:rPr>
        <w:t xml:space="preserve">
       1.  专业进阶路径（32学分）
      </w:t>
      </w:r>
    </w:p>
    <w:p>
      <w:pPr>
        <w:spacing w:after="0"/>
        <w:ind w:left="0"/>
        <w:jc w:val="left"/>
      </w:pPr>
      <w:r>
        <w:rPr>
          <w:rFonts w:ascii="SimSun" w:hAnsi="SimSun"/>
          <w:b w:val="false"/>
          <w:i w:val="false"/>
          <w:color w:val="000000"/>
          <w:sz w:val="21"/>
        </w:rPr>
        <w:t xml:space="preserve">
       修满32学分，要求在"专业进阶课程I"课程中修读至少18学分，在"专业进阶课程II"课程中修读至少14学分（其中须选修1门专业外语，不限方向，限选1门）。 
      </w:t>
      </w:r>
    </w:p>
    <w:p>
      <w:pPr>
        <w:spacing w:after="0"/>
        <w:ind w:left="0"/>
        <w:jc w:val="left"/>
      </w:pPr>
      <w:r>
        <w:rPr>
          <w:rFonts w:ascii="SimSun" w:hAnsi="SimSun"/>
          <w:b/>
          <w:i w:val="false"/>
          <w:color w:val="000000"/>
          <w:sz w:val="21"/>
        </w:rPr>
        <w:t xml:space="preserve">
       (1) 专业进阶（32学分）
      </w:t>
      </w:r>
    </w:p>
    <w:p>
      <w:pPr>
        <w:spacing w:after="0"/>
        <w:ind w:left="0"/>
        <w:jc w:val="left"/>
      </w:pPr>
      <w:r>
        <w:rPr>
          <w:rFonts w:ascii="SimSun" w:hAnsi="SimSun"/>
          <w:b/>
          <w:i w:val="false"/>
          <w:color w:val="000000"/>
          <w:sz w:val="21"/>
        </w:rPr>
        <w:t xml:space="preserve">
       a) 专业进阶课程I（18学分）
      </w:t>
      </w:r>
    </w:p>
    <w:p>
      <w:pPr>
        <w:spacing w:after="0"/>
        <w:ind w:left="0"/>
        <w:jc w:val="left"/>
      </w:pPr>
      <w:r>
        <w:rPr>
          <w:rFonts w:ascii="SimSun" w:hAnsi="SimSun"/>
          <w:b w:val="false"/>
          <w:i w:val="false"/>
          <w:color w:val="000000"/>
          <w:sz w:val="21"/>
        </w:rPr>
        <w:t xml:space="preserve">
       要求修读18学分，以下每组至少选修1门，其余可在院内其他专业方向"专业进阶课程I"自由选择。
      </w:t>
      </w:r>
    </w:p>
    <w:p>
      <w:pPr>
        <w:spacing w:after="0"/>
        <w:ind w:left="0"/>
        <w:jc w:val="left"/>
      </w:pPr>
      <w:r>
        <w:rPr>
          <w:rFonts w:ascii="SimSun" w:hAnsi="SimSun"/>
          <w:b/>
          <w:i w:val="false"/>
          <w:color w:val="000000"/>
          <w:sz w:val="21"/>
        </w:rPr>
        <w:t xml:space="preserve">
        A组 文史典籍（2学分）
      </w:t>
      </w:r>
    </w:p>
    <w:tbl>
      <w:tblPr>
        <w:tblW w:w="0" w:type="auto"/>
        <w:tblCellSpacing w:w="0" w:type="auto"/>
        <w:tblBorders>
          <w:top w:val="none"/>
          <w:left w:val="none"/>
          <w:bottom w:val="none"/>
          <w:right w:val="none"/>
          <w:insideH w:val="none"/>
          <w:insideV w:val="none"/>
        </w:tblBorders>
      </w:tblPr>
      <w:tblGrid>
        <w:gridCol w:w="3227"/>
        <w:gridCol w:w="806"/>
        <w:gridCol w:w="806"/>
        <w:gridCol w:w="1129"/>
        <w:gridCol w:w="1696"/>
        <w:gridCol w:w="806"/>
        <w:gridCol w:w="806"/>
        <w:gridCol w:w="806"/>
        <w:gridCol w:w="806"/>
        <w:gridCol w:w="1130"/>
        <w:gridCol w:w="1616"/>
      </w:tblGrid>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《文心雕龙》精读</w:t>
            </w:r>
            <w:r>
              <w:br/>
            </w:r>
            <w:r>
              <w:rPr>
                <w:rFonts w:ascii="SimSun" w:hAnsi="SimSun"/>
                <w:b w:val="false"/>
                <w:i w:val="false"/>
                <w:color w:val="000000"/>
                <w:sz w:val="21"/>
              </w:rPr>
              <w:t>Close Reading of The Literary Mind and the Carving of Dragons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CHIN30014</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《四库提要》精读</w:t>
            </w:r>
            <w:r>
              <w:br/>
            </w:r>
            <w:r>
              <w:rPr>
                <w:rFonts w:ascii="SimSun" w:hAnsi="SimSun"/>
                <w:b w:val="false"/>
                <w:i w:val="false"/>
                <w:color w:val="000000"/>
                <w:sz w:val="21"/>
              </w:rPr>
              <w:t>Close Reading of Essentials of National Encyclopedia of Four Catalogues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CHIN30015</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《说文解字》精读</w:t>
            </w:r>
            <w:r>
              <w:br/>
            </w:r>
            <w:r>
              <w:rPr>
                <w:rFonts w:ascii="SimSun" w:hAnsi="SimSun"/>
                <w:b w:val="false"/>
                <w:i w:val="false"/>
                <w:color w:val="000000"/>
                <w:sz w:val="21"/>
              </w:rPr>
              <w:t>Close Reading of Shuo Wen Jie Zi</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CHIN30017</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《世说新语》精读</w:t>
            </w:r>
            <w:r>
              <w:br/>
            </w:r>
            <w:r>
              <w:rPr>
                <w:rFonts w:ascii="SimSun" w:hAnsi="SimSun"/>
                <w:b w:val="false"/>
                <w:i w:val="false"/>
                <w:color w:val="000000"/>
                <w:sz w:val="21"/>
              </w:rPr>
              <w:t>Close Reading of Shi Shuo Xin Yu</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CHIN30019</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《资治通鉴》讲读</w:t>
            </w:r>
            <w:r>
              <w:br/>
            </w:r>
            <w:r>
              <w:rPr>
                <w:rFonts w:ascii="SimSun" w:hAnsi="SimSun"/>
                <w:b w:val="false"/>
                <w:i w:val="false"/>
                <w:color w:val="000000"/>
                <w:sz w:val="21"/>
              </w:rPr>
              <w:t>Intensive Reading of A Comprehensive Mirror for Aid in Government</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HIST30048</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校雠目录学</w:t>
            </w:r>
            <w:r>
              <w:br/>
            </w:r>
            <w:r>
              <w:rPr>
                <w:rFonts w:ascii="SimSun" w:hAnsi="SimSun"/>
                <w:b w:val="false"/>
                <w:i w:val="false"/>
                <w:color w:val="000000"/>
                <w:sz w:val="21"/>
              </w:rPr>
              <w:t>Traditional Bibliography (Collation and Cataloguing)</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PHIL30017</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《文选》</w:t>
            </w:r>
            <w:r>
              <w:br/>
            </w:r>
            <w:r>
              <w:rPr>
                <w:rFonts w:ascii="SimSun" w:hAnsi="SimSun"/>
                <w:b w:val="false"/>
                <w:i w:val="false"/>
                <w:color w:val="000000"/>
                <w:sz w:val="21"/>
              </w:rPr>
              <w:t>Introduction to Anthology of Literary Works</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PHIL30040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B组 断代研究及儒释道专题（2学分）
      </w:t>
      </w:r>
    </w:p>
    <w:tbl>
      <w:tblPr>
        <w:tblW w:w="0" w:type="auto"/>
        <w:tblCellSpacing w:w="0" w:type="auto"/>
        <w:tblBorders>
          <w:top w:val="none"/>
          <w:left w:val="none"/>
          <w:bottom w:val="none"/>
          <w:right w:val="none"/>
          <w:insideH w:val="none"/>
          <w:insideV w:val="none"/>
        </w:tblBorders>
      </w:tblPr>
      <w:tblGrid>
        <w:gridCol w:w="3242"/>
        <w:gridCol w:w="810"/>
        <w:gridCol w:w="810"/>
        <w:gridCol w:w="1134"/>
        <w:gridCol w:w="1641"/>
        <w:gridCol w:w="810"/>
        <w:gridCol w:w="810"/>
        <w:gridCol w:w="810"/>
        <w:gridCol w:w="810"/>
        <w:gridCol w:w="1135"/>
        <w:gridCol w:w="1622"/>
      </w:tblGrid>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清代思想专题研究</w:t>
            </w:r>
            <w:r>
              <w:br/>
            </w:r>
            <w:r>
              <w:rPr>
                <w:rFonts w:ascii="SimSun" w:hAnsi="SimSun"/>
                <w:b w:val="false"/>
                <w:i w:val="false"/>
                <w:color w:val="000000"/>
                <w:sz w:val="21"/>
              </w:rPr>
              <w:t>Issues of Thoughts of the Qing Dynasty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PHIL30080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秦汉哲学专题研究</w:t>
            </w:r>
            <w:r>
              <w:br/>
            </w:r>
            <w:r>
              <w:rPr>
                <w:rFonts w:ascii="SimSun" w:hAnsi="SimSun"/>
                <w:b w:val="false"/>
                <w:i w:val="false"/>
                <w:color w:val="000000"/>
                <w:sz w:val="21"/>
              </w:rPr>
              <w:t>Issues of the Philosophy of the Qin and Han Dynasties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PHIL30077</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魏晋玄学专题研究</w:t>
            </w:r>
            <w:r>
              <w:br/>
            </w:r>
            <w:r>
              <w:rPr>
                <w:rFonts w:ascii="SimSun" w:hAnsi="SimSun"/>
                <w:b w:val="false"/>
                <w:i w:val="false"/>
                <w:color w:val="000000"/>
                <w:sz w:val="21"/>
              </w:rPr>
              <w:t>Issues of the Wei-Jin Xuanxue</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PHIL30078</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宋明理学专题研究</w:t>
            </w:r>
            <w:r>
              <w:br/>
            </w:r>
            <w:r>
              <w:rPr>
                <w:rFonts w:ascii="SimSun" w:hAnsi="SimSun"/>
                <w:b w:val="false"/>
                <w:i w:val="false"/>
                <w:color w:val="000000"/>
                <w:sz w:val="21"/>
              </w:rPr>
              <w:t>Issues of Neo-Confucianism</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PHIL30079</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汉传佛教哲学</w:t>
            </w:r>
            <w:r>
              <w:br/>
            </w:r>
            <w:r>
              <w:rPr>
                <w:rFonts w:ascii="SimSun" w:hAnsi="SimSun"/>
                <w:b w:val="false"/>
                <w:i w:val="false"/>
                <w:color w:val="000000"/>
                <w:sz w:val="21"/>
              </w:rPr>
              <w:t>Philosophy of Chinese Buddhism</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PHIL30029</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印度哲学与宗教</w:t>
            </w:r>
            <w:r>
              <w:br/>
            </w:r>
            <w:r>
              <w:rPr>
                <w:rFonts w:ascii="SimSun" w:hAnsi="SimSun"/>
                <w:b w:val="false"/>
                <w:i w:val="false"/>
                <w:color w:val="000000"/>
                <w:sz w:val="21"/>
              </w:rPr>
              <w:t>Indian Philosophy and Religion</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PHIL30094</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佛教经典选读</w:t>
            </w:r>
            <w:r>
              <w:br/>
            </w:r>
            <w:r>
              <w:rPr>
                <w:rFonts w:ascii="SimSun" w:hAnsi="SimSun"/>
                <w:b w:val="false"/>
                <w:i w:val="false"/>
                <w:color w:val="000000"/>
                <w:sz w:val="21"/>
              </w:rPr>
              <w:t>Selected Readings of Buddhist Scriptures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PHIL30081</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印度哲学选读</w:t>
            </w:r>
            <w:r>
              <w:br/>
            </w:r>
            <w:r>
              <w:rPr>
                <w:rFonts w:ascii="SimSun" w:hAnsi="SimSun"/>
                <w:b w:val="false"/>
                <w:i w:val="false"/>
                <w:color w:val="000000"/>
                <w:sz w:val="21"/>
              </w:rPr>
              <w:t>Selected Readings in Indian Philosophy</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PHIL30147</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C组 经学与子学经典（2学分）
      </w:t>
      </w:r>
    </w:p>
    <w:tbl>
      <w:tblPr>
        <w:tblW w:w="0" w:type="auto"/>
        <w:tblCellSpacing w:w="0" w:type="auto"/>
        <w:tblBorders>
          <w:top w:val="none"/>
          <w:left w:val="none"/>
          <w:bottom w:val="none"/>
          <w:right w:val="none"/>
          <w:insideH w:val="none"/>
          <w:insideV w:val="none"/>
        </w:tblBorders>
      </w:tblPr>
      <w:tblGrid>
        <w:gridCol w:w="3242"/>
        <w:gridCol w:w="810"/>
        <w:gridCol w:w="810"/>
        <w:gridCol w:w="1134"/>
        <w:gridCol w:w="1641"/>
        <w:gridCol w:w="810"/>
        <w:gridCol w:w="810"/>
        <w:gridCol w:w="810"/>
        <w:gridCol w:w="810"/>
        <w:gridCol w:w="1135"/>
        <w:gridCol w:w="1622"/>
      </w:tblGrid>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《韩非子》</w:t>
            </w:r>
            <w:r>
              <w:br/>
            </w:r>
            <w:r>
              <w:rPr>
                <w:rFonts w:ascii="SimSun" w:hAnsi="SimSun"/>
                <w:b w:val="false"/>
                <w:i w:val="false"/>
                <w:color w:val="000000"/>
                <w:sz w:val="21"/>
              </w:rPr>
              <w:t>Introduction to Han Fei Zi</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PHIL30032</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《诗经》</w:t>
            </w:r>
            <w:r>
              <w:br/>
            </w:r>
            <w:r>
              <w:rPr>
                <w:rFonts w:ascii="SimSun" w:hAnsi="SimSun"/>
                <w:b w:val="false"/>
                <w:i w:val="false"/>
                <w:color w:val="000000"/>
                <w:sz w:val="21"/>
              </w:rPr>
              <w:t>The Book of Odes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PHIL30033</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《尚书》</w:t>
            </w:r>
            <w:r>
              <w:br/>
            </w:r>
            <w:r>
              <w:rPr>
                <w:rFonts w:ascii="SimSun" w:hAnsi="SimSun"/>
                <w:b w:val="false"/>
                <w:i w:val="false"/>
                <w:color w:val="000000"/>
                <w:sz w:val="21"/>
              </w:rPr>
              <w:t>Introduction to Shang Shu</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PHIL30034</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《左传》</w:t>
            </w:r>
            <w:r>
              <w:br/>
            </w:r>
            <w:r>
              <w:rPr>
                <w:rFonts w:ascii="SimSun" w:hAnsi="SimSun"/>
                <w:b w:val="false"/>
                <w:i w:val="false"/>
                <w:color w:val="000000"/>
                <w:sz w:val="21"/>
              </w:rPr>
              <w:t>Introduction to Zuo Zhuan</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PHIL30037</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《公羊传》</w:t>
            </w:r>
            <w:r>
              <w:br/>
            </w:r>
            <w:r>
              <w:rPr>
                <w:rFonts w:ascii="SimSun" w:hAnsi="SimSun"/>
                <w:b w:val="false"/>
                <w:i w:val="false"/>
                <w:color w:val="000000"/>
                <w:sz w:val="21"/>
              </w:rPr>
              <w:t>Introduction to Chun Qiu Gong Yang Zhuan</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PHIL30038</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《近思录》</w:t>
            </w:r>
            <w:r>
              <w:br/>
            </w:r>
            <w:r>
              <w:rPr>
                <w:rFonts w:ascii="SimSun" w:hAnsi="SimSun"/>
                <w:b w:val="false"/>
                <w:i w:val="false"/>
                <w:color w:val="000000"/>
                <w:sz w:val="21"/>
              </w:rPr>
              <w:t>Jin Si Lu</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PHIL30084</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D组 其他专题研究（2学分）
      </w:t>
      </w:r>
    </w:p>
    <w:tbl>
      <w:tblPr>
        <w:tblW w:w="0" w:type="auto"/>
        <w:tblCellSpacing w:w="0" w:type="auto"/>
        <w:tblBorders>
          <w:top w:val="none"/>
          <w:left w:val="none"/>
          <w:bottom w:val="none"/>
          <w:right w:val="none"/>
          <w:insideH w:val="none"/>
          <w:insideV w:val="none"/>
        </w:tblBorders>
      </w:tblPr>
      <w:tblGrid>
        <w:gridCol w:w="3242"/>
        <w:gridCol w:w="810"/>
        <w:gridCol w:w="810"/>
        <w:gridCol w:w="1134"/>
        <w:gridCol w:w="1641"/>
        <w:gridCol w:w="810"/>
        <w:gridCol w:w="810"/>
        <w:gridCol w:w="810"/>
        <w:gridCol w:w="810"/>
        <w:gridCol w:w="1135"/>
        <w:gridCol w:w="1622"/>
      </w:tblGrid>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中国经学史专题研究</w:t>
            </w:r>
            <w:r>
              <w:br/>
            </w:r>
            <w:r>
              <w:rPr>
                <w:rFonts w:ascii="SimSun" w:hAnsi="SimSun"/>
                <w:b w:val="false"/>
                <w:i w:val="false"/>
                <w:color w:val="000000"/>
                <w:sz w:val="21"/>
              </w:rPr>
              <w:t>Issues of the History of Confucian Cannonical Studies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PHIL50019</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朱子学与阳明学研究</w:t>
            </w:r>
            <w:r>
              <w:br/>
            </w:r>
            <w:r>
              <w:rPr>
                <w:rFonts w:ascii="SimSun" w:hAnsi="SimSun"/>
                <w:b w:val="false"/>
                <w:i w:val="false"/>
                <w:color w:val="000000"/>
                <w:sz w:val="21"/>
              </w:rPr>
              <w:t>Issues of the Zhu Xi school and the Yangming School</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当代新儒家专题研究</w:t>
            </w:r>
            <w:r>
              <w:br/>
            </w:r>
            <w:r>
              <w:rPr>
                <w:rFonts w:ascii="SimSun" w:hAnsi="SimSun"/>
                <w:b w:val="false"/>
                <w:i w:val="false"/>
                <w:color w:val="000000"/>
                <w:sz w:val="21"/>
              </w:rPr>
              <w:t>Issues of Contemporary New Confucianism</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PHIL50021</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中国传统政治哲学研究</w:t>
            </w:r>
            <w:r>
              <w:br/>
            </w:r>
            <w:r>
              <w:rPr>
                <w:rFonts w:ascii="SimSun" w:hAnsi="SimSun"/>
                <w:b w:val="false"/>
                <w:i w:val="false"/>
                <w:color w:val="000000"/>
                <w:sz w:val="21"/>
              </w:rPr>
              <w:t>Issues of Traditional Chinese Political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PHIL50022</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中西比较哲学专题研究</w:t>
            </w:r>
            <w:r>
              <w:br/>
            </w:r>
            <w:r>
              <w:rPr>
                <w:rFonts w:ascii="SimSun" w:hAnsi="SimSun"/>
                <w:b w:val="false"/>
                <w:i w:val="false"/>
                <w:color w:val="000000"/>
                <w:sz w:val="21"/>
              </w:rPr>
              <w:t>Chinese and Western Comparative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PHIL50023</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海外中国哲学研究专题</w:t>
            </w:r>
            <w:r>
              <w:br/>
            </w:r>
            <w:r>
              <w:rPr>
                <w:rFonts w:ascii="SimSun" w:hAnsi="SimSun"/>
                <w:b w:val="false"/>
                <w:i w:val="false"/>
                <w:color w:val="000000"/>
                <w:sz w:val="21"/>
              </w:rPr>
              <w:t>Topics on Overseas Chinese Philosophy Studies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PHIL50024</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东亚儒学探究</w:t>
            </w:r>
            <w:r>
              <w:br/>
            </w:r>
            <w:r>
              <w:rPr>
                <w:rFonts w:ascii="SimSun" w:hAnsi="SimSun"/>
                <w:b w:val="false"/>
                <w:i w:val="false"/>
                <w:color w:val="000000"/>
                <w:sz w:val="21"/>
              </w:rPr>
              <w:t>Studies of East Asian Confucianism</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PHIL50025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中国心学传统：先秦至近现代</w:t>
            </w:r>
            <w:r>
              <w:br/>
            </w:r>
            <w:r>
              <w:rPr>
                <w:rFonts w:ascii="SimSun" w:hAnsi="SimSun"/>
                <w:b w:val="false"/>
                <w:i w:val="false"/>
                <w:color w:val="000000"/>
                <w:sz w:val="21"/>
              </w:rPr>
              <w:t>Tradition of Chinese Heart-Mind Philosophy: From Pre-Qin to Modern Time</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PHIL30152</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全英语授课 </w:t>
            </w:r>
          </w:p>
        </w:tc>
      </w:tr>
    </w:tbl>
    <w:p>
      <w:pPr>
        <w:spacing w:after="0"/>
        <w:ind w:left="0"/>
        <w:jc w:val="left"/>
      </w:pPr>
      <w:r>
        <w:rPr>
          <w:rFonts w:ascii="SimSun" w:hAnsi="SimSun"/>
          <w:b/>
          <w:i w:val="false"/>
          <w:color w:val="000000"/>
          <w:sz w:val="21"/>
        </w:rPr>
        <w:t xml:space="preserve">
       b) 专业进阶课程II（14学分）
      </w:t>
      </w:r>
    </w:p>
    <w:p>
      <w:pPr>
        <w:spacing w:after="0"/>
        <w:ind w:left="0"/>
        <w:jc w:val="left"/>
      </w:pPr>
      <w:r>
        <w:rPr>
          <w:rFonts w:ascii="SimSun" w:hAnsi="SimSun"/>
          <w:b w:val="false"/>
          <w:i w:val="false"/>
          <w:color w:val="000000"/>
          <w:sz w:val="21"/>
        </w:rPr>
        <w:t xml:space="preserve">
       要求在本"专业进阶课程II"中修读至少14学分,须选修1门专业外语（不限方向，限选1门）
      </w:t>
      </w:r>
    </w:p>
    <w:tbl>
      <w:tblPr>
        <w:tblW w:w="0" w:type="auto"/>
        <w:tblCellSpacing w:w="0" w:type="auto"/>
        <w:tblBorders>
          <w:top w:val="none"/>
          <w:left w:val="none"/>
          <w:bottom w:val="none"/>
          <w:right w:val="none"/>
          <w:insideH w:val="none"/>
          <w:insideV w:val="none"/>
        </w:tblBorders>
      </w:tblPr>
      <w:tblGrid>
        <w:gridCol w:w="3242"/>
        <w:gridCol w:w="810"/>
        <w:gridCol w:w="810"/>
        <w:gridCol w:w="1134"/>
        <w:gridCol w:w="1641"/>
        <w:gridCol w:w="810"/>
        <w:gridCol w:w="810"/>
        <w:gridCol w:w="810"/>
        <w:gridCol w:w="810"/>
        <w:gridCol w:w="1135"/>
        <w:gridCol w:w="1622"/>
      </w:tblGrid>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《资本论》及其手稿</w:t>
            </w:r>
            <w:r>
              <w:br/>
            </w:r>
            <w:r>
              <w:rPr>
                <w:rFonts w:ascii="SimSun" w:hAnsi="SimSun"/>
                <w:b w:val="false"/>
                <w:i w:val="false"/>
                <w:color w:val="000000"/>
                <w:sz w:val="21"/>
              </w:rPr>
              <w:t>Studies on CAPITAL and its Manuscripts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PHIL50011</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近代认识论研究</w:t>
            </w:r>
            <w:r>
              <w:br/>
            </w:r>
            <w:r>
              <w:rPr>
                <w:rFonts w:ascii="SimSun" w:hAnsi="SimSun"/>
                <w:b w:val="false"/>
                <w:i w:val="false"/>
                <w:color w:val="000000"/>
                <w:sz w:val="21"/>
              </w:rPr>
              <w:t>Study of Modern Epistemology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PHIL50012</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现代政治哲学研究</w:t>
            </w:r>
            <w:r>
              <w:br/>
            </w:r>
            <w:r>
              <w:rPr>
                <w:rFonts w:ascii="SimSun" w:hAnsi="SimSun"/>
                <w:b w:val="false"/>
                <w:i w:val="false"/>
                <w:color w:val="000000"/>
                <w:sz w:val="21"/>
              </w:rPr>
              <w:t>Topics on Modern Political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PHIL50014</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德国观念论</w:t>
            </w:r>
            <w:r>
              <w:br/>
            </w:r>
            <w:r>
              <w:rPr>
                <w:rFonts w:ascii="SimSun" w:hAnsi="SimSun"/>
                <w:b w:val="false"/>
                <w:i w:val="false"/>
                <w:color w:val="000000"/>
                <w:sz w:val="21"/>
              </w:rPr>
              <w:t>German Idealism</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PHIL50015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福柯研究</w:t>
            </w:r>
            <w:r>
              <w:br/>
            </w:r>
            <w:r>
              <w:rPr>
                <w:rFonts w:ascii="SimSun" w:hAnsi="SimSun"/>
                <w:b w:val="false"/>
                <w:i w:val="false"/>
                <w:color w:val="000000"/>
                <w:sz w:val="21"/>
              </w:rPr>
              <w:t>Study of Foucault</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PHIL50016</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意识形态理论研究</w:t>
            </w:r>
            <w:r>
              <w:br/>
            </w:r>
            <w:r>
              <w:rPr>
                <w:rFonts w:ascii="SimSun" w:hAnsi="SimSun"/>
                <w:b w:val="false"/>
                <w:i w:val="false"/>
                <w:color w:val="000000"/>
                <w:sz w:val="21"/>
              </w:rPr>
              <w:t>Study of Ideology Theory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PHIL50017</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启蒙哲学</w:t>
            </w:r>
            <w:r>
              <w:br/>
            </w:r>
            <w:r>
              <w:rPr>
                <w:rFonts w:ascii="SimSun" w:hAnsi="SimSun"/>
                <w:b w:val="false"/>
                <w:i w:val="false"/>
                <w:color w:val="000000"/>
                <w:sz w:val="21"/>
              </w:rPr>
              <w:t>Philosophy of Enlightenment</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PHIL50033</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国外马克思主义前沿</w:t>
            </w:r>
            <w:r>
              <w:br/>
            </w:r>
            <w:r>
              <w:rPr>
                <w:rFonts w:ascii="SimSun" w:hAnsi="SimSun"/>
                <w:b w:val="false"/>
                <w:i w:val="false"/>
                <w:color w:val="000000"/>
                <w:sz w:val="21"/>
              </w:rPr>
              <w:t>Frontiers of Marxism Abroad</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PHIL50036</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古希腊哲学专题</w:t>
            </w:r>
            <w:r>
              <w:br/>
            </w:r>
            <w:r>
              <w:rPr>
                <w:rFonts w:ascii="SimSun" w:hAnsi="SimSun"/>
                <w:b w:val="false"/>
                <w:i w:val="false"/>
                <w:color w:val="000000"/>
                <w:sz w:val="21"/>
              </w:rPr>
              <w:t>Topics in Ancient Greek Philosophy I</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PHIL50037</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生命伦理学专题</w:t>
            </w:r>
            <w:r>
              <w:br/>
            </w:r>
            <w:r>
              <w:rPr>
                <w:rFonts w:ascii="SimSun" w:hAnsi="SimSun"/>
                <w:b w:val="false"/>
                <w:i w:val="false"/>
                <w:color w:val="000000"/>
                <w:sz w:val="21"/>
              </w:rPr>
              <w:t>Topics in Bioethics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PHIL50044</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力迫法</w:t>
            </w:r>
            <w:r>
              <w:br/>
            </w:r>
            <w:r>
              <w:rPr>
                <w:rFonts w:ascii="SimSun" w:hAnsi="SimSun"/>
                <w:b w:val="false"/>
                <w:i w:val="false"/>
                <w:color w:val="000000"/>
                <w:sz w:val="21"/>
              </w:rPr>
              <w:t>Forcing</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PHIL50026</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意义理论研究</w:t>
            </w:r>
            <w:r>
              <w:br/>
            </w:r>
            <w:r>
              <w:rPr>
                <w:rFonts w:ascii="SimSun" w:hAnsi="SimSun"/>
                <w:b w:val="false"/>
                <w:i w:val="false"/>
                <w:color w:val="000000"/>
                <w:sz w:val="21"/>
              </w:rPr>
              <w:t>Study of Theory of Significance</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PHIL50027</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科学实在论研究</w:t>
            </w:r>
            <w:r>
              <w:br/>
            </w:r>
            <w:r>
              <w:rPr>
                <w:rFonts w:ascii="SimSun" w:hAnsi="SimSun"/>
                <w:b w:val="false"/>
                <w:i w:val="false"/>
                <w:color w:val="000000"/>
                <w:sz w:val="21"/>
              </w:rPr>
              <w:t>Study of Scientific Realism</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PHIL50028</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科学解释研究</w:t>
            </w:r>
            <w:r>
              <w:br/>
            </w:r>
            <w:r>
              <w:rPr>
                <w:rFonts w:ascii="SimSun" w:hAnsi="SimSun"/>
                <w:b w:val="false"/>
                <w:i w:val="false"/>
                <w:color w:val="000000"/>
                <w:sz w:val="21"/>
              </w:rPr>
              <w:t>Study of Scientific Explanation</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PHIL50029</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科学实践哲学</w:t>
            </w:r>
            <w:r>
              <w:br/>
            </w:r>
            <w:r>
              <w:rPr>
                <w:rFonts w:ascii="SimSun" w:hAnsi="SimSun"/>
                <w:b w:val="false"/>
                <w:i w:val="false"/>
                <w:color w:val="000000"/>
                <w:sz w:val="21"/>
              </w:rPr>
              <w:t>Philosophy of Scientific Practice</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思考与认知</w:t>
            </w:r>
            <w:r>
              <w:br/>
            </w:r>
            <w:r>
              <w:rPr>
                <w:rFonts w:ascii="SimSun" w:hAnsi="SimSun"/>
                <w:b w:val="false"/>
                <w:i w:val="false"/>
                <w:color w:val="000000"/>
                <w:sz w:val="21"/>
              </w:rPr>
              <w:t>Thinking and Knowing</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PHIL50035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模型论进阶</w:t>
            </w:r>
            <w:r>
              <w:br/>
            </w:r>
            <w:r>
              <w:rPr>
                <w:rFonts w:ascii="SimSun" w:hAnsi="SimSun"/>
                <w:b w:val="false"/>
                <w:i w:val="false"/>
                <w:color w:val="000000"/>
                <w:sz w:val="21"/>
              </w:rPr>
              <w:t>Advanced Model Theory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PHIL50038</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可计算性理论进阶</w:t>
            </w:r>
            <w:r>
              <w:br/>
            </w:r>
            <w:r>
              <w:rPr>
                <w:rFonts w:ascii="SimSun" w:hAnsi="SimSun"/>
                <w:b w:val="false"/>
                <w:i w:val="false"/>
                <w:color w:val="000000"/>
                <w:sz w:val="21"/>
              </w:rPr>
              <w:t>Advanced Computability Theory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PHIL50039</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集合论进阶</w:t>
            </w:r>
            <w:r>
              <w:br/>
            </w:r>
            <w:r>
              <w:rPr>
                <w:rFonts w:ascii="SimSun" w:hAnsi="SimSun"/>
                <w:b w:val="false"/>
                <w:i w:val="false"/>
                <w:color w:val="000000"/>
                <w:sz w:val="21"/>
              </w:rPr>
              <w:t>Advanced Set Theory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PHIL50040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德国古典美学专题研究</w:t>
            </w:r>
            <w:r>
              <w:br/>
            </w:r>
            <w:r>
              <w:rPr>
                <w:rFonts w:ascii="SimSun" w:hAnsi="SimSun"/>
                <w:b w:val="false"/>
                <w:i w:val="false"/>
                <w:color w:val="000000"/>
                <w:sz w:val="21"/>
              </w:rPr>
              <w:t>Topics on German Classical Aesthetics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PHIL50013</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中西艺术专题</w:t>
            </w:r>
            <w:r>
              <w:br/>
            </w:r>
            <w:r>
              <w:rPr>
                <w:rFonts w:ascii="SimSun" w:hAnsi="SimSun"/>
                <w:b w:val="false"/>
                <w:i w:val="false"/>
                <w:color w:val="000000"/>
                <w:sz w:val="21"/>
              </w:rPr>
              <w:t>The Seminar of Chinese and West Arts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PHIL50034</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黑格尔美学思想</w:t>
            </w:r>
            <w:r>
              <w:br/>
            </w:r>
            <w:r>
              <w:rPr>
                <w:rFonts w:ascii="SimSun" w:hAnsi="SimSun"/>
                <w:b w:val="false"/>
                <w:i w:val="false"/>
                <w:color w:val="000000"/>
                <w:sz w:val="21"/>
              </w:rPr>
              <w:t>On Hegel’ Aesthetics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PHIL50041</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中国古典美学专题</w:t>
            </w:r>
            <w:r>
              <w:br/>
            </w:r>
            <w:r>
              <w:rPr>
                <w:rFonts w:ascii="SimSun" w:hAnsi="SimSun"/>
                <w:b w:val="false"/>
                <w:i w:val="false"/>
                <w:color w:val="000000"/>
                <w:sz w:val="21"/>
              </w:rPr>
              <w:t>Topics in Chinese Classical Aesthetics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PHIL50042</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艺术展览与艺术理论专题</w:t>
            </w:r>
            <w:r>
              <w:br/>
            </w:r>
            <w:r>
              <w:rPr>
                <w:rFonts w:ascii="SimSun" w:hAnsi="SimSun"/>
                <w:b w:val="false"/>
                <w:i w:val="false"/>
                <w:color w:val="000000"/>
                <w:sz w:val="21"/>
              </w:rPr>
              <w:t>Topical Studies of Art Exhibitions and Theories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PHIL50043</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新兴宗教概论</w:t>
            </w:r>
            <w:r>
              <w:br/>
            </w:r>
            <w:r>
              <w:rPr>
                <w:rFonts w:ascii="SimSun" w:hAnsi="SimSun"/>
                <w:b w:val="false"/>
                <w:i w:val="false"/>
                <w:color w:val="000000"/>
                <w:sz w:val="21"/>
              </w:rPr>
              <w:t>Introduction to Newly Emerging Religion</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PHIL50009</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亚伯拉罕宗教研究</w:t>
            </w:r>
            <w:r>
              <w:br/>
            </w:r>
            <w:r>
              <w:rPr>
                <w:rFonts w:ascii="SimSun" w:hAnsi="SimSun"/>
                <w:b w:val="false"/>
                <w:i w:val="false"/>
                <w:color w:val="000000"/>
                <w:sz w:val="21"/>
              </w:rPr>
              <w:t>Study of Abraham Religions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PHIL50031</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明清基督教研究</w:t>
            </w:r>
            <w:r>
              <w:br/>
            </w:r>
            <w:r>
              <w:rPr>
                <w:rFonts w:ascii="SimSun" w:hAnsi="SimSun"/>
                <w:b w:val="false"/>
                <w:i w:val="false"/>
                <w:color w:val="000000"/>
                <w:sz w:val="21"/>
              </w:rPr>
              <w:t>Study of Christianity of the Ming and Qing Dynasties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PHIL50032</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《1844手稿》研究</w:t>
            </w:r>
            <w:r>
              <w:br/>
            </w:r>
            <w:r>
              <w:rPr>
                <w:rFonts w:ascii="SimSun" w:hAnsi="SimSun"/>
                <w:b w:val="false"/>
                <w:i w:val="false"/>
                <w:color w:val="000000"/>
                <w:sz w:val="21"/>
              </w:rPr>
              <w:t>Study of 1844 Manuscripts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PHIL50010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环境伦理学</w:t>
            </w:r>
            <w:r>
              <w:br/>
            </w:r>
            <w:r>
              <w:rPr>
                <w:rFonts w:ascii="SimSun" w:hAnsi="SimSun"/>
                <w:b w:val="false"/>
                <w:i w:val="false"/>
                <w:color w:val="000000"/>
                <w:sz w:val="21"/>
              </w:rPr>
              <w:t>Environmental Ethics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PHIL30045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帝国秩序与帝国主义</w:t>
            </w:r>
            <w:r>
              <w:br/>
            </w:r>
            <w:r>
              <w:rPr>
                <w:rFonts w:ascii="SimSun" w:hAnsi="SimSun"/>
                <w:b w:val="false"/>
                <w:i w:val="false"/>
                <w:color w:val="000000"/>
                <w:sz w:val="21"/>
              </w:rPr>
              <w:t>Imperial Order and Imperialism</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PHIL40023</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政治思想专题：经典与当代</w:t>
            </w:r>
            <w:r>
              <w:br/>
            </w:r>
            <w:r>
              <w:rPr>
                <w:rFonts w:ascii="SimSun" w:hAnsi="SimSun"/>
                <w:b w:val="false"/>
                <w:i w:val="false"/>
                <w:color w:val="000000"/>
                <w:sz w:val="21"/>
              </w:rPr>
              <w:t>Key Themes in Political Thought: Classics and Contemporary Issues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PHIL40024</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《资本论》与现代世界</w:t>
            </w:r>
            <w:r>
              <w:br/>
            </w:r>
            <w:r>
              <w:rPr>
                <w:rFonts w:ascii="SimSun" w:hAnsi="SimSun"/>
                <w:b w:val="false"/>
                <w:i w:val="false"/>
                <w:color w:val="000000"/>
                <w:sz w:val="21"/>
              </w:rPr>
              <w:t>Marx’s Capital and Modern World</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PHIL40025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繁荣与贫困：历史视野下的经济发展</w:t>
            </w:r>
            <w:r>
              <w:br/>
            </w:r>
            <w:r>
              <w:rPr>
                <w:rFonts w:ascii="SimSun" w:hAnsi="SimSun"/>
                <w:b w:val="false"/>
                <w:i w:val="false"/>
                <w:color w:val="000000"/>
                <w:sz w:val="21"/>
              </w:rPr>
              <w:t>Prosperity and Poverty: Economic Development in Historical Perspective</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PHIL40026</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科技伦理前沿</w:t>
            </w:r>
            <w:r>
              <w:br/>
            </w:r>
            <w:r>
              <w:rPr>
                <w:rFonts w:ascii="SimSun" w:hAnsi="SimSun"/>
                <w:b w:val="false"/>
                <w:i w:val="false"/>
                <w:color w:val="000000"/>
                <w:sz w:val="21"/>
              </w:rPr>
              <w:t>Frontiers of Science and Technology Ethics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PHIL50045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当代西方艺术哲学</w:t>
            </w:r>
            <w:r>
              <w:br/>
            </w:r>
            <w:r>
              <w:rPr>
                <w:rFonts w:ascii="SimSun" w:hAnsi="SimSun"/>
                <w:b w:val="false"/>
                <w:i w:val="false"/>
                <w:color w:val="000000"/>
                <w:sz w:val="21"/>
              </w:rPr>
              <w:t>Contemporary Western Philosophy of Art</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PHIL50046</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规范伦理学</w:t>
            </w:r>
            <w:r>
              <w:br/>
            </w:r>
            <w:r>
              <w:rPr>
                <w:rFonts w:ascii="SimSun" w:hAnsi="SimSun"/>
                <w:b w:val="false"/>
                <w:i w:val="false"/>
                <w:color w:val="000000"/>
                <w:sz w:val="21"/>
              </w:rPr>
              <w:t>Normative Ethics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PHIL40028</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佛教专题研究</w:t>
            </w:r>
            <w:r>
              <w:br/>
            </w:r>
            <w:r>
              <w:rPr>
                <w:rFonts w:ascii="SimSun" w:hAnsi="SimSun"/>
                <w:b w:val="false"/>
                <w:i w:val="false"/>
                <w:color w:val="000000"/>
                <w:sz w:val="21"/>
              </w:rPr>
              <w:t>Studies on Selected Topics in Buddhism</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PHIL50047</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元伦理学</w:t>
            </w:r>
            <w:r>
              <w:br/>
            </w:r>
            <w:r>
              <w:rPr>
                <w:rFonts w:ascii="SimSun" w:hAnsi="SimSun"/>
                <w:b w:val="false"/>
                <w:i w:val="false"/>
                <w:color w:val="000000"/>
                <w:sz w:val="21"/>
              </w:rPr>
              <w:t>Metaethics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PHIL50048</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基督教哲学专题</w:t>
            </w:r>
            <w:r>
              <w:br/>
            </w:r>
            <w:r>
              <w:rPr>
                <w:rFonts w:ascii="SimSun" w:hAnsi="SimSun"/>
                <w:b w:val="false"/>
                <w:i w:val="false"/>
                <w:color w:val="000000"/>
                <w:sz w:val="21"/>
              </w:rPr>
              <w:t>Themes in Christian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PHIL20001</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哲学阅读和写作 II</w:t>
            </w:r>
            <w:r>
              <w:br/>
            </w:r>
            <w:r>
              <w:rPr>
                <w:rFonts w:ascii="SimSun" w:hAnsi="SimSun"/>
                <w:b w:val="false"/>
                <w:i w:val="false"/>
                <w:color w:val="000000"/>
                <w:sz w:val="21"/>
              </w:rPr>
              <w:t>Reading and Writing Philosophically II</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PHIL50049</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专业外语（2学分）
      </w:t>
      </w:r>
    </w:p>
    <w:tbl>
      <w:tblPr>
        <w:tblW w:w="0" w:type="auto"/>
        <w:tblCellSpacing w:w="0" w:type="auto"/>
        <w:tblBorders>
          <w:top w:val="none"/>
          <w:left w:val="none"/>
          <w:bottom w:val="none"/>
          <w:right w:val="none"/>
          <w:insideH w:val="none"/>
          <w:insideV w:val="none"/>
        </w:tblBorders>
      </w:tblPr>
      <w:tblGrid>
        <w:gridCol w:w="3227"/>
        <w:gridCol w:w="806"/>
        <w:gridCol w:w="806"/>
        <w:gridCol w:w="1129"/>
        <w:gridCol w:w="1696"/>
        <w:gridCol w:w="806"/>
        <w:gridCol w:w="806"/>
        <w:gridCol w:w="806"/>
        <w:gridCol w:w="806"/>
        <w:gridCol w:w="1130"/>
        <w:gridCol w:w="1616"/>
      </w:tblGrid>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哲学专业外语</w:t>
            </w:r>
            <w:r>
              <w:br/>
            </w:r>
            <w:r>
              <w:rPr>
                <w:rFonts w:ascii="SimSun" w:hAnsi="SimSun"/>
                <w:b w:val="false"/>
                <w:i w:val="false"/>
                <w:color w:val="000000"/>
                <w:sz w:val="21"/>
              </w:rPr>
              <w:t>Foreign Languages for Philosophy Proper</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PHIL40015</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国学专业外语</w:t>
            </w:r>
            <w:r>
              <w:br/>
            </w:r>
            <w:r>
              <w:rPr>
                <w:rFonts w:ascii="SimSun" w:hAnsi="SimSun"/>
                <w:b w:val="false"/>
                <w:i w:val="false"/>
                <w:color w:val="000000"/>
                <w:sz w:val="21"/>
              </w:rPr>
              <w:t>Foreign languages for Sinology</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PHIL40016</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科逻专业外语</w:t>
            </w:r>
            <w:r>
              <w:br/>
            </w:r>
            <w:r>
              <w:rPr>
                <w:rFonts w:ascii="SimSun" w:hAnsi="SimSun"/>
                <w:b w:val="false"/>
                <w:i w:val="false"/>
                <w:color w:val="000000"/>
                <w:sz w:val="21"/>
              </w:rPr>
              <w:t>Foreign Languages for the Philosophy of Science and Logic</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PHIL40017</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宗教学专业外语</w:t>
            </w:r>
            <w:r>
              <w:br/>
            </w:r>
            <w:r>
              <w:rPr>
                <w:rFonts w:ascii="SimSun" w:hAnsi="SimSun"/>
                <w:b w:val="false"/>
                <w:i w:val="false"/>
                <w:color w:val="000000"/>
                <w:sz w:val="21"/>
              </w:rPr>
              <w:t>Foreign Languages for Religions Studies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PHIL40018</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藏语Ⅰ</w:t>
            </w:r>
            <w:r>
              <w:br/>
            </w:r>
            <w:r>
              <w:rPr>
                <w:rFonts w:ascii="SimSun" w:hAnsi="SimSun"/>
                <w:b w:val="false"/>
                <w:i w:val="false"/>
                <w:color w:val="000000"/>
                <w:sz w:val="21"/>
              </w:rPr>
              <w:t>Tibetan I</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PHIL40009</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藏语Ⅱ</w:t>
            </w:r>
            <w:r>
              <w:br/>
            </w:r>
            <w:r>
              <w:rPr>
                <w:rFonts w:ascii="SimSun" w:hAnsi="SimSun"/>
                <w:b w:val="false"/>
                <w:i w:val="false"/>
                <w:color w:val="000000"/>
                <w:sz w:val="21"/>
              </w:rPr>
              <w:t>Tibetan II</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PHIL40010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巴利语Ⅰ</w:t>
            </w:r>
            <w:r>
              <w:br/>
            </w:r>
            <w:r>
              <w:rPr>
                <w:rFonts w:ascii="SimSun" w:hAnsi="SimSun"/>
                <w:b w:val="false"/>
                <w:i w:val="false"/>
                <w:color w:val="000000"/>
                <w:sz w:val="21"/>
              </w:rPr>
              <w:t>Pali I</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PHIL40011</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拉丁语与罗马宗教</w:t>
            </w:r>
            <w:r>
              <w:br/>
            </w:r>
            <w:r>
              <w:rPr>
                <w:rFonts w:ascii="SimSun" w:hAnsi="SimSun"/>
                <w:b w:val="false"/>
                <w:i w:val="false"/>
                <w:color w:val="000000"/>
                <w:sz w:val="21"/>
              </w:rPr>
              <w:t>Latin and Roman Religion</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PHIL40013</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高阶拉丁语</w:t>
            </w:r>
            <w:r>
              <w:br/>
            </w:r>
            <w:r>
              <w:rPr>
                <w:rFonts w:ascii="SimSun" w:hAnsi="SimSun"/>
                <w:b w:val="false"/>
                <w:i w:val="false"/>
                <w:color w:val="000000"/>
                <w:sz w:val="21"/>
              </w:rPr>
              <w:t>Advanced Latin</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PHIL40014</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梵语Ⅰ</w:t>
            </w:r>
            <w:r>
              <w:br/>
            </w:r>
            <w:r>
              <w:rPr>
                <w:rFonts w:ascii="SimSun" w:hAnsi="SimSun"/>
                <w:b w:val="false"/>
                <w:i w:val="false"/>
                <w:color w:val="000000"/>
                <w:sz w:val="21"/>
              </w:rPr>
              <w:t>Sanskrit Ⅰ</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GESF40004</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梵语Ⅱ</w:t>
            </w:r>
            <w:r>
              <w:br/>
            </w:r>
            <w:r>
              <w:rPr>
                <w:rFonts w:ascii="SimSun" w:hAnsi="SimSun"/>
                <w:b w:val="false"/>
                <w:i w:val="false"/>
                <w:color w:val="000000"/>
                <w:sz w:val="21"/>
              </w:rPr>
              <w:t>Sanskrit Ⅱ</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GESF40005</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梵语Ⅲ</w:t>
            </w:r>
            <w:r>
              <w:br/>
            </w:r>
            <w:r>
              <w:rPr>
                <w:rFonts w:ascii="SimSun" w:hAnsi="SimSun"/>
                <w:b w:val="false"/>
                <w:i w:val="false"/>
                <w:color w:val="000000"/>
                <w:sz w:val="21"/>
              </w:rPr>
              <w:t>Sanskrit Ⅲ</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GESF40006</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梵语Ⅳ</w:t>
            </w:r>
            <w:r>
              <w:br/>
            </w:r>
            <w:r>
              <w:rPr>
                <w:rFonts w:ascii="SimSun" w:hAnsi="SimSun"/>
                <w:b w:val="false"/>
                <w:i w:val="false"/>
                <w:color w:val="000000"/>
                <w:sz w:val="21"/>
              </w:rPr>
              <w:t>Sanskrit Ⅳ</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GESF40007</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哲学阅读和写作 II</w:t>
            </w:r>
            <w:r>
              <w:br/>
            </w:r>
            <w:r>
              <w:rPr>
                <w:rFonts w:ascii="SimSun" w:hAnsi="SimSun"/>
                <w:b w:val="false"/>
                <w:i w:val="false"/>
                <w:color w:val="000000"/>
                <w:sz w:val="21"/>
              </w:rPr>
              <w:t>Reading and Writing Philosophically II</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PHIL50049</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荣誉项目路径（32学分）
      </w:t>
      </w:r>
    </w:p>
    <w:p>
      <w:pPr>
        <w:spacing w:after="0"/>
        <w:ind w:left="0"/>
        <w:jc w:val="left"/>
      </w:pPr>
      <w:r>
        <w:rPr>
          <w:rFonts w:ascii="SimSun" w:hAnsi="SimSun"/>
          <w:b w:val="false"/>
          <w:i w:val="false"/>
          <w:color w:val="000000"/>
          <w:sz w:val="21"/>
        </w:rPr>
        <w:t xml:space="preserve">
       荣誉项目课程设置和修读要求请见哲学学院本科“荣誉项目”实施方案。下载地址：https://jwc.fudan.edu.cn/（复旦大学教务处）-专业培养-常用文档。
      </w:t>
      </w:r>
    </w:p>
    <w:p>
      <w:pPr>
        <w:spacing w:after="0"/>
        <w:ind w:left="0"/>
        <w:jc w:val="left"/>
      </w:pPr>
      <w:r>
        <w:rPr>
          <w:rFonts w:ascii="SimSun" w:hAnsi="SimSun"/>
          <w:b/>
          <w:i w:val="false"/>
          <w:color w:val="000000"/>
          <w:sz w:val="21"/>
        </w:rPr>
        <w:t xml:space="preserve">
       3.  跨学科发展路径
      </w:t>
      </w:r>
    </w:p>
    <w:p>
      <w:pPr>
        <w:spacing w:after="0"/>
        <w:ind w:left="0"/>
        <w:jc w:val="left"/>
      </w:pPr>
      <w:r>
        <w:rPr>
          <w:rFonts w:ascii="SimSun" w:hAnsi="SimSun"/>
          <w:b/>
          <w:i w:val="false"/>
          <w:color w:val="000000"/>
          <w:sz w:val="21"/>
        </w:rPr>
        <w:t xml:space="preserve">
       4.  创新创业路径
      </w:t>
      </w:r>
    </w:p>
    <w:p>
      <w:pPr>
        <w:spacing w:after="0"/>
        <w:ind w:left="0"/>
        <w:jc w:val="left"/>
      </w:pPr>
      <w:r>
        <w:rPr>
          <w:rFonts w:ascii="SimSun" w:hAnsi="SimSun"/>
          <w:b/>
          <w:i w:val="false"/>
          <w:color w:val="000000"/>
          <w:sz w:val="21"/>
        </w:rPr>
        <w:t xml:space="preserve">
       5.  辅修学士学位路径
      </w:t>
      </w:r>
    </w:p>
    <w:p>
      <w:pPr>
        <w:spacing w:after="0"/>
        <w:ind w:left="0"/>
        <w:jc w:val="left"/>
      </w:pPr>
      <w:r>
        <w:rPr>
          <w:rFonts w:ascii="SimSun" w:hAnsi="SimSun"/>
          <w:b/>
          <w:i w:val="false"/>
          <w:color w:val="000000"/>
          <w:sz w:val="21"/>
        </w:rPr>
        <w:t xml:space="preserve">
       其他
      </w:t>
      </w:r>
    </w:p>
    <w:p>
      <w:pPr>
        <w:spacing w:after="0"/>
        <w:ind w:left="0"/>
        <w:jc w:val="left"/>
      </w:pPr>
      <w:r>
        <w:rPr>
          <w:rFonts w:ascii="SimSun" w:hAnsi="SimSun"/>
          <w:b/>
          <w:i w:val="false"/>
          <w:color w:val="000000"/>
          <w:sz w:val="21"/>
        </w:rPr>
        <w:t xml:space="preserve">
       (四) 融合创新能力（7学分）
      </w:t>
      </w:r>
    </w:p>
    <w:p>
      <w:pPr>
        <w:spacing w:after="0"/>
        <w:ind w:left="0"/>
        <w:jc w:val="left"/>
      </w:pPr>
      <w:r>
        <w:rPr>
          <w:rFonts w:ascii="SimSun" w:hAnsi="SimSun"/>
          <w:b w:val="false"/>
          <w:i w:val="false"/>
          <w:color w:val="000000"/>
          <w:sz w:val="21"/>
        </w:rPr>
        <w:t xml:space="preserve">
       1.按照“基础型—综合型—创新型”渐次推进相互衔接的哲学教学体系，在解决复杂问题的过程中培养学生的哲学素养，激发批判性思维和科研潜力。
       </w:t>
      </w:r>
      <w:r>
        <w:br/>
      </w:r>
      <w:r>
        <w:rPr>
          <w:rFonts w:ascii="SimSun" w:hAnsi="SimSun"/>
          <w:b w:val="false"/>
          <w:i w:val="false"/>
          <w:color w:val="000000"/>
          <w:sz w:val="21"/>
        </w:rPr>
        <w:t xml:space="preserve">2.秉持“以学为中心、以学生学习成效与学术综合能力提升为导向”的理念，培养具有优秀哲学素养、宽阔学术视野、出色思维能力的拔尖学术人才。
       </w:t>
      </w:r>
      <w:r>
        <w:br/>
      </w:r>
      <w:r>
        <w:rPr>
          <w:rFonts w:ascii="SimSun" w:hAnsi="SimSun"/>
          <w:b w:val="false"/>
          <w:i w:val="false"/>
          <w:color w:val="000000"/>
          <w:sz w:val="21"/>
        </w:rPr>
        <w:t xml:space="preserve">3.围绕“复芏计划”展开多种学术项目，支撑具有多学科、全球化视野的“干细胞式”拔尖创新人才的培养。例如结合曦源、望道等学术项目的公开征集课题以及个人学术兴趣申请相关学术项目，获取相关导师的指导，帮助学生入门学术研究。
       </w:t>
      </w:r>
      <w:r>
        <w:br/>
      </w:r>
      <w:r>
        <w:rPr>
          <w:rFonts w:ascii="SimSun" w:hAnsi="SimSun"/>
          <w:b w:val="false"/>
          <w:i w:val="false"/>
          <w:color w:val="000000"/>
          <w:sz w:val="21"/>
        </w:rPr>
        <w:t xml:space="preserve">4.提供大量读书班和论文研讨会。导师们举办各种主题的读书班，带领学生们深入研读哲学经典著作，帮助掌握阅读哲学原典的方法；学院建立机制保障，学生自发申请各类论文研讨会，互相点评。
       </w:t>
      </w:r>
      <w:r>
        <w:br/>
      </w:r>
      <w:r>
        <w:rPr>
          <w:rFonts w:ascii="SimSun" w:hAnsi="SimSun"/>
          <w:b w:val="false"/>
          <w:i w:val="false"/>
          <w:color w:val="000000"/>
          <w:sz w:val="21"/>
        </w:rPr>
        <w:t xml:space="preserve">5.多渠道支持学生参加国内国际高水平论坛、会议等学术交流活动。
      </w:t>
      </w:r>
    </w:p>
    <w:tbl>
      <w:tblPr>
        <w:tblW w:w="0" w:type="auto"/>
        <w:tblCellSpacing w:w="0" w:type="auto"/>
        <w:tblBorders>
          <w:top w:val="none"/>
          <w:left w:val="none"/>
          <w:bottom w:val="none"/>
          <w:right w:val="none"/>
          <w:insideH w:val="none"/>
          <w:insideV w:val="none"/>
        </w:tblBorders>
      </w:tblPr>
      <w:tblGrid>
        <w:gridCol w:w="3242"/>
        <w:gridCol w:w="810"/>
        <w:gridCol w:w="810"/>
        <w:gridCol w:w="1134"/>
        <w:gridCol w:w="1641"/>
        <w:gridCol w:w="810"/>
        <w:gridCol w:w="810"/>
        <w:gridCol w:w="810"/>
        <w:gridCol w:w="810"/>
        <w:gridCol w:w="1135"/>
        <w:gridCol w:w="1622"/>
      </w:tblGrid>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复芏计划(FDUROP)</w:t>
            </w:r>
            <w:r>
              <w:br/>
            </w:r>
            <w:r>
              <w:rPr>
                <w:rFonts w:ascii="SimSun" w:hAnsi="SimSun"/>
                <w:b w:val="false"/>
                <w:i w:val="false"/>
                <w:color w:val="000000"/>
                <w:sz w:val="21"/>
              </w:rPr>
              <w:t>FDUROP</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第5、6学期，需要承担1项复芏计划（FDUROP）项目，详见复旦大学本科生学术研究资助计划管理办法。</w:t>
            </w: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学年论文</w:t>
            </w:r>
            <w:r>
              <w:br/>
            </w:r>
            <w:r>
              <w:rPr>
                <w:rFonts w:ascii="SimSun" w:hAnsi="SimSun"/>
                <w:b w:val="false"/>
                <w:i w:val="false"/>
                <w:color w:val="000000"/>
                <w:sz w:val="21"/>
              </w:rPr>
              <w:t>Junior Thesis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PHIL30004</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社会实践</w:t>
            </w:r>
            <w:r>
              <w:br/>
            </w:r>
            <w:r>
              <w:rPr>
                <w:rFonts w:ascii="SimSun" w:hAnsi="SimSun"/>
                <w:b w:val="false"/>
                <w:i w:val="false"/>
                <w:color w:val="000000"/>
                <w:sz w:val="21"/>
              </w:rPr>
              <w:t>Social Practice</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PHIL30003</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毕业论文</w:t>
            </w:r>
            <w:r>
              <w:br/>
            </w:r>
            <w:r>
              <w:rPr>
                <w:rFonts w:ascii="SimSun" w:hAnsi="SimSun"/>
                <w:b w:val="false"/>
                <w:i w:val="false"/>
                <w:color w:val="000000"/>
                <w:sz w:val="21"/>
              </w:rPr>
              <w:t>Graduation Thesis</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113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PHIL40008</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8</w:t>
            </w:r>
          </w:p>
        </w:tc>
        <w:tc>
          <w:tcPr>
            <w:tcW w:w="113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sectPr>
      <w:pgSz w:w="11907" w:h="16839" w:code="9"/>
      <w:pgMar w:top="1440" w:right="1440" w:bottom="1440" w:left="1440"/>
    </w:sectPr>
  </w:body>
</w:document>
</file>

<file path=word/numbering.xml><?xml version="1.0" encoding="utf-8"?>
<w:numbering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file>

<file path=word/settings.xml><?xml version="1.0" encoding="utf-8"?>
<w:settings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mc:Ignorable="">
  <w:compat>
    <w:compatSetting w:name="overrideTableStyleFontSizeAndJustification" w:uri="http://schemas.microsoft.com/office/word" w:val="1"/>
  </w:compat>
</w:settings>
</file>

<file path=word/styles.xml><?xml version="1.0" encoding="utf-8"?>
<w:styles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 Target="media/document_image_rId4.png" Type="http://schemas.openxmlformats.org/officeDocument/2006/relationships/image" Id="rId4"/>
   <Relationship Target="media/document_image_rId5.png" Type="http://schemas.openxmlformats.org/officeDocument/2006/relationships/image" Id="rId5"/>
   <Relationship Target="media/document_image_rId6.png" Type="http://schemas.openxmlformats.org/officeDocument/2006/relationships/image" Id="rId6"/>
   <Relationship Target="media/document_image_rId7.png" Type="http://schemas.openxmlformats.org/officeDocument/2006/relationships/image" Id="rId7"/>
</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dcterms="http://purl.org/dc/terms/" xmlns:cp="http://schemas.openxmlformats.org/package/2006/metadata/core-properties" xmlns:dc="http://purl.org/dc/elements/1.1/"/>
</file>