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2026宗教学本科培养方案(留学生适用)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宗教学专业以马克思主义理论与方法为指导，培养德、智、体、美、劳全面发展，有一定宗教学理论素养和专业基础知识，有进一步培养潜质的宗教学专门人才，以及能在国家机关、 文教事业、 新闻出版、企业等部门从事实际工作的应用型、复合型人才。要求学生在哲学大类要求的基础上，掌握宗教学的基本理论、基础知识和中外宗教发展的基本史实及研究方法；熟悉我国有关宗教的政策法规；具备一定的社会科学、人文科学与自然科学知识；比较熟练地掌握一门外国语；了解国内外宗教学界最重要的理论前沿和发展动态；掌握文献检索和资料查询的基本方法。</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40"/>
        <w:gridCol w:w="440"/>
        <w:gridCol w:w="963"/>
        <w:gridCol w:w="964"/>
        <w:gridCol w:w="900"/>
        <w:gridCol w:w="1340"/>
        <w:gridCol w:w="1120"/>
        <w:gridCol w:w="1191"/>
        <w:gridCol w:w="1192"/>
        <w:gridCol w:w="1193"/>
        <w:gridCol w:w="1197"/>
      </w:tblGrid>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2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4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9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3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2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4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9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3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宗教学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☑按照不少于学分数122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12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通识教育课程28学分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18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70318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703185"/>
                    </a:xfrm>
                    <a:prstGeom prst="rect">
                      <a:avLst/>
                    </a:prstGeom>
                  </pic:spPr>
                </pic:pic>
              </a:graphicData>
            </a:graphic>
          </wp:inline>
        </w:drawing>
      </w:r>
      <w:r>
        <w:br/>
      </w:r>
      <w:r>
        <w:rPr>
          <w:rFonts w:ascii="SimSun" w:hAnsi="SimSun"/>
          <w:b w:val="false"/>
          <w:i w:val="false"/>
          <w:color w:val="000000"/>
          <w:sz w:val="21"/>
        </w:rPr>
        <w:t>1、专业进阶路径：122学分</w:t>
      </w:r>
    </w:p>
    <w:p>
      <w:pPr>
        <w:spacing w:after="0"/>
        <w:ind w:left="0"/>
        <w:jc w:val="left"/>
      </w:pPr>
      <w:r>
        <w:rPr>
          <w:rFonts w:ascii="SimSun" w:hAnsi="SimSun"/>
          <w:b w:val="false"/>
          <w:i w:val="false"/>
          <w:color w:val="000000"/>
          <w:sz w:val="21"/>
        </w:rPr>
        <w:t>本路径学生需要完成122学分（含实践学分不低于19学分；含美育学分不少于2学分，其中至少在“美学和艺术史论类”或“艺术鉴赏和评论类”课程中修读1学分，并至少参与一项艺术实践活动；劳动教育不少于32学时，并满足劳动周教育要求）。包括通识教育课程28学分，专业培养课程53学分，融合创新能力培养7学分，专业进阶模块I 20学分，专业进阶模块II 14学分。</w:t>
      </w:r>
      <w:r>
        <w:br/>
      </w:r>
      <w:r>
        <w:rPr>
          <w:rFonts w:ascii="SimSun" w:hAnsi="SimSun"/>
          <w:b w:val="false"/>
          <w:i w:val="false"/>
          <w:color w:val="000000"/>
          <w:sz w:val="21"/>
        </w:rPr>
        <w:t>2、本科荣誉项目：122学分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3、跨学科学发展路径：122学分</w:t>
      </w:r>
      <w:r>
        <w:br/>
      </w:r>
      <w:r>
        <w:rPr>
          <w:rFonts w:ascii="SimSun" w:hAnsi="SimSun"/>
          <w:b w:val="false"/>
          <w:i w:val="false"/>
          <w:color w:val="000000"/>
          <w:sz w:val="21"/>
        </w:rPr>
        <w:t xml:space="preserve">  本路径学生至少需要完成122学分，包括通识教育课程28学分，专业培养课程53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4、创新创业路径：122学分</w:t>
      </w:r>
      <w:r>
        <w:br/>
      </w:r>
      <w:r>
        <w:rPr>
          <w:rFonts w:ascii="SimSun" w:hAnsi="SimSun"/>
          <w:b w:val="false"/>
          <w:i w:val="false"/>
          <w:color w:val="000000"/>
          <w:sz w:val="21"/>
        </w:rPr>
        <w:t xml:space="preserve"> 本路径学生至少需要完成122学分，包括通识教育课程28学分，专业培养课程53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5、哲学+AI双学士学位项目：157学分</w:t>
      </w:r>
      <w:r>
        <w:br/>
      </w:r>
      <w:r>
        <w:rPr>
          <w:rFonts w:ascii="SimSun" w:hAnsi="SimSun"/>
          <w:b w:val="false"/>
          <w:i w:val="false"/>
          <w:color w:val="000000"/>
          <w:sz w:val="21"/>
        </w:rPr>
        <w:t xml:space="preserve"> 本路径学生必须修满教学计划规定的157学分，包括通识教育课程（含通识教育核心课程和专项教育课程）28学分、专业培养课程101学分、多元发展路径课程23学分、融合创新能力课程7学分，总学分不少于157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120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12086"/>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通识教育课程（28学分）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通识教育核心课程（10学分）
      </w:t>
      </w:r>
    </w:p>
    <w:p>
      <w:pPr>
        <w:spacing w:after="0"/>
        <w:ind w:left="0"/>
        <w:jc w:val="left"/>
      </w:pPr>
      <w:r>
        <w:rPr>
          <w:rFonts w:ascii="SimSun" w:hAnsi="SimSun"/>
          <w:b w:val="false"/>
          <w:i w:val="false"/>
          <w:color w:val="000000"/>
          <w:sz w:val="21"/>
        </w:rPr>
        <w:t xml:space="preserve">
       要求修读七大模块课程10学分（每模块最多修读1门课程，回避哲学学院所开设的课程，即修读哲学学院开设的GECC课程将不计入七大模块10个学分中，只可认定为任意选修课程学分）。课程设置详见核心课程七大模块和留学生修读说明。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要求修读18学分，包括大学外语、人工智能教学专项 、留学生中国语言与文化素养等课程。课程设置详见专项教育课程和专业修读建议。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宗教社会学</w:t>
            </w:r>
            <w:r>
              <w:br/>
            </w:r>
            <w:r>
              <w:rPr>
                <w:rFonts w:ascii="SimSun" w:hAnsi="SimSun"/>
                <w:b w:val="false"/>
                <w:i w:val="false"/>
                <w:color w:val="000000"/>
                <w:sz w:val="21"/>
              </w:rPr>
              <w:t>Sociology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w:t>
            </w:r>
            <w:r>
              <w:br/>
            </w:r>
            <w:r>
              <w:rPr>
                <w:rFonts w:ascii="SimSun" w:hAnsi="SimSun"/>
                <w:b w:val="false"/>
                <w:i w:val="false"/>
                <w:color w:val="000000"/>
                <w:sz w:val="21"/>
              </w:rPr>
              <w:t>Philosophy of Christianity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佛教哲学</w:t>
            </w:r>
            <w:r>
              <w:br/>
            </w:r>
            <w:r>
              <w:rPr>
                <w:rFonts w:ascii="SimSun" w:hAnsi="SimSun"/>
                <w:b w:val="false"/>
                <w:i w:val="false"/>
                <w:color w:val="000000"/>
                <w:sz w:val="21"/>
              </w:rPr>
              <w:t>Philosophy of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圣经学概论</w:t>
            </w:r>
            <w:r>
              <w:br/>
            </w:r>
            <w:r>
              <w:rPr>
                <w:rFonts w:ascii="SimSun" w:hAnsi="SimSun"/>
                <w:b w:val="false"/>
                <w:i w:val="false"/>
                <w:color w:val="000000"/>
                <w:sz w:val="21"/>
              </w:rPr>
              <w:t>Introduction to the Biblical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民间宗教与道教</w:t>
            </w:r>
            <w:r>
              <w:br/>
            </w:r>
            <w:r>
              <w:rPr>
                <w:rFonts w:ascii="SimSun" w:hAnsi="SimSun"/>
                <w:b w:val="false"/>
                <w:i w:val="false"/>
                <w:color w:val="000000"/>
                <w:sz w:val="21"/>
              </w:rPr>
              <w:t>Folk religion and Taoism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阿拉伯哲学</w:t>
            </w:r>
            <w:r>
              <w:br/>
            </w:r>
            <w:r>
              <w:rPr>
                <w:rFonts w:ascii="SimSun" w:hAnsi="SimSun"/>
                <w:b w:val="false"/>
                <w:i w:val="false"/>
                <w:color w:val="000000"/>
                <w:sz w:val="21"/>
              </w:rPr>
              <w:t>Arabic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儒教的理论与历史</w:t>
            </w:r>
            <w:r>
              <w:br/>
            </w:r>
            <w:r>
              <w:rPr>
                <w:rFonts w:ascii="SimSun" w:hAnsi="SimSun"/>
                <w:b w:val="false"/>
                <w:i w:val="false"/>
                <w:color w:val="000000"/>
                <w:sz w:val="21"/>
              </w:rPr>
              <w:t>Theory and History of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比较宗教学</w:t>
            </w:r>
            <w:r>
              <w:br/>
            </w:r>
            <w:r>
              <w:rPr>
                <w:rFonts w:ascii="SimSun" w:hAnsi="SimSun"/>
                <w:b w:val="false"/>
                <w:i w:val="false"/>
                <w:color w:val="000000"/>
                <w:sz w:val="21"/>
              </w:rPr>
              <w:t>Comparative Religious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宗教人类学</w:t>
            </w:r>
            <w:r>
              <w:br/>
            </w:r>
            <w:r>
              <w:rPr>
                <w:rFonts w:ascii="SimSun" w:hAnsi="SimSun"/>
                <w:b w:val="false"/>
                <w:i w:val="false"/>
                <w:color w:val="000000"/>
                <w:sz w:val="21"/>
              </w:rPr>
              <w:t>Religious Anthropology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中国佛教史</w:t>
            </w:r>
            <w:r>
              <w:br/>
            </w:r>
            <w:r>
              <w:rPr>
                <w:rFonts w:ascii="SimSun" w:hAnsi="SimSun"/>
                <w:b w:val="false"/>
                <w:i w:val="false"/>
                <w:color w:val="000000"/>
                <w:sz w:val="21"/>
              </w:rPr>
              <w:t>History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《古兰经》研究</w:t>
            </w:r>
            <w:r>
              <w:br/>
            </w:r>
            <w:r>
              <w:rPr>
                <w:rFonts w:ascii="SimSun" w:hAnsi="SimSun"/>
                <w:b w:val="false"/>
                <w:i w:val="false"/>
                <w:color w:val="000000"/>
                <w:sz w:val="21"/>
              </w:rPr>
              <w:t>Study of Koran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中国佛教思想史</w:t>
            </w:r>
            <w:r>
              <w:br/>
            </w:r>
            <w:r>
              <w:rPr>
                <w:rFonts w:ascii="SimSun" w:hAnsi="SimSun"/>
                <w:b w:val="false"/>
                <w:i w:val="false"/>
                <w:color w:val="000000"/>
                <w:sz w:val="21"/>
              </w:rPr>
              <w:t>History of Chinese Buddhist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印度佛教思想史</w:t>
            </w:r>
            <w:r>
              <w:br/>
            </w:r>
            <w:r>
              <w:rPr>
                <w:rFonts w:ascii="SimSun" w:hAnsi="SimSun"/>
                <w:b w:val="false"/>
                <w:i w:val="false"/>
                <w:color w:val="000000"/>
                <w:sz w:val="21"/>
              </w:rPr>
              <w:t>History of Indian Buddhist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全球基督教史</w:t>
            </w:r>
            <w:r>
              <w:br/>
            </w:r>
            <w:r>
              <w:rPr>
                <w:rFonts w:ascii="SimSun" w:hAnsi="SimSun"/>
                <w:b w:val="false"/>
                <w:i w:val="false"/>
                <w:color w:val="000000"/>
                <w:sz w:val="21"/>
              </w:rPr>
              <w:t>The Global History of Christianity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宗教哲学</w:t>
            </w:r>
            <w:r>
              <w:br/>
            </w:r>
            <w:r>
              <w:rPr>
                <w:rFonts w:ascii="SimSun" w:hAnsi="SimSun"/>
                <w:b w:val="false"/>
                <w:i w:val="false"/>
                <w:color w:val="000000"/>
                <w:sz w:val="21"/>
              </w:rPr>
              <w:t>Philosophy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宗教伦理学</w:t>
            </w:r>
            <w:r>
              <w:br/>
            </w:r>
            <w:r>
              <w:rPr>
                <w:rFonts w:ascii="SimSun" w:hAnsi="SimSun"/>
                <w:b w:val="false"/>
                <w:i w:val="false"/>
                <w:color w:val="000000"/>
                <w:sz w:val="21"/>
              </w:rPr>
              <w:t>Religious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宗教对话的理论和现状</w:t>
            </w:r>
            <w:r>
              <w:br/>
            </w:r>
            <w:r>
              <w:rPr>
                <w:rFonts w:ascii="SimSun" w:hAnsi="SimSun"/>
                <w:b w:val="false"/>
                <w:i w:val="false"/>
                <w:color w:val="000000"/>
                <w:sz w:val="21"/>
              </w:rPr>
              <w:t>Hermeneutics and Pluralistic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中国宗教的田野研究</w:t>
            </w:r>
            <w:r>
              <w:br/>
            </w:r>
            <w:r>
              <w:rPr>
                <w:rFonts w:ascii="SimSun" w:hAnsi="SimSun"/>
                <w:b w:val="false"/>
                <w:i w:val="false"/>
                <w:color w:val="000000"/>
                <w:sz w:val="21"/>
              </w:rPr>
              <w:t>Field Studies on China’s Religions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巴利语Ⅱ</w:t>
            </w:r>
            <w:r>
              <w:br/>
            </w:r>
            <w:r>
              <w:rPr>
                <w:rFonts w:ascii="SimSun" w:hAnsi="SimSun"/>
                <w:b w:val="false"/>
                <w:i w:val="false"/>
                <w:color w:val="000000"/>
                <w:sz w:val="21"/>
              </w:rPr>
              <w:t>Pali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汉传佛教哲学</w:t>
            </w:r>
            <w:r>
              <w:br/>
            </w:r>
            <w:r>
              <w:rPr>
                <w:rFonts w:ascii="SimSun" w:hAnsi="SimSun"/>
                <w:b w:val="false"/>
                <w:i w:val="false"/>
                <w:color w:val="000000"/>
                <w:sz w:val="21"/>
              </w:rPr>
              <w:t>Philosophy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藏传佛教</w:t>
            </w:r>
            <w:r>
              <w:br/>
            </w:r>
            <w:r>
              <w:rPr>
                <w:rFonts w:ascii="SimSun" w:hAnsi="SimSun"/>
                <w:b w:val="false"/>
                <w:i w:val="false"/>
                <w:color w:val="000000"/>
                <w:sz w:val="21"/>
              </w:rPr>
              <w:t>Tibet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印度哲学与宗教</w:t>
            </w:r>
            <w:r>
              <w:br/>
            </w:r>
            <w:r>
              <w:rPr>
                <w:rFonts w:ascii="SimSun" w:hAnsi="SimSun"/>
                <w:b w:val="false"/>
                <w:i w:val="false"/>
                <w:color w:val="000000"/>
                <w:sz w:val="21"/>
              </w:rPr>
              <w:t>Indian Philosophy and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佛教经典选读</w:t>
            </w:r>
            <w:r>
              <w:br/>
            </w:r>
            <w:r>
              <w:rPr>
                <w:rFonts w:ascii="SimSun" w:hAnsi="SimSun"/>
                <w:b w:val="false"/>
                <w:i w:val="false"/>
                <w:color w:val="000000"/>
                <w:sz w:val="21"/>
              </w:rPr>
              <w:t>Selected Readings of Buddhist Scriptures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印度哲学选读</w:t>
            </w:r>
            <w:r>
              <w:br/>
            </w:r>
            <w:r>
              <w:rPr>
                <w:rFonts w:ascii="SimSun" w:hAnsi="SimSun"/>
                <w:b w:val="false"/>
                <w:i w:val="false"/>
                <w:color w:val="000000"/>
                <w:sz w:val="21"/>
              </w:rPr>
              <w:t>Selected Readings in Indian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当代天主教</w:t>
            </w:r>
            <w:r>
              <w:br/>
            </w:r>
            <w:r>
              <w:rPr>
                <w:rFonts w:ascii="SimSun" w:hAnsi="SimSun"/>
                <w:b w:val="false"/>
                <w:i w:val="false"/>
                <w:color w:val="000000"/>
                <w:sz w:val="21"/>
              </w:rPr>
              <w:t>Contemporary Catholic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中国基督教</w:t>
            </w:r>
            <w:r>
              <w:br/>
            </w:r>
            <w:r>
              <w:rPr>
                <w:rFonts w:ascii="SimSun" w:hAnsi="SimSun"/>
                <w:b w:val="false"/>
                <w:i w:val="false"/>
                <w:color w:val="000000"/>
                <w:sz w:val="21"/>
              </w:rPr>
              <w:t>Chinese Christianity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《神圣与世俗》</w:t>
            </w:r>
            <w:r>
              <w:br/>
            </w:r>
            <w:r>
              <w:rPr>
                <w:rFonts w:ascii="SimSun" w:hAnsi="SimSun"/>
                <w:b w:val="false"/>
                <w:i w:val="false"/>
                <w:color w:val="000000"/>
                <w:sz w:val="21"/>
              </w:rPr>
              <w:t>Introduction to The Sacred and The Profane:The Nature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犹太教历史、理论与实践</w:t>
            </w:r>
            <w:r>
              <w:br/>
            </w:r>
            <w:r>
              <w:rPr>
                <w:rFonts w:ascii="SimSun" w:hAnsi="SimSun"/>
                <w:b w:val="false"/>
                <w:i w:val="false"/>
                <w:color w:val="000000"/>
                <w:sz w:val="21"/>
              </w:rPr>
              <w:t>Judaism: Its History, Thought and Practice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修满34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辅修学士学位路径（34学分）
      </w:t>
      </w:r>
    </w:p>
    <w:p>
      <w:pPr>
        <w:spacing w:after="0"/>
        <w:ind w:left="0"/>
        <w:jc w:val="left"/>
      </w:pPr>
      <w:r>
        <w:rPr>
          <w:rFonts w:ascii="SimSun" w:hAnsi="SimSun"/>
          <w:b w:val="false"/>
          <w:i w:val="false"/>
          <w:color w:val="000000"/>
          <w:sz w:val="21"/>
        </w:rPr>
        <w:t xml:space="preserve">
               要求至少修读本“专业进阶课程I”模块20学分和1个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r>
        <w:br/>
      </w:r>
      <w:r>
        <w:rPr>
          <w:rFonts w:ascii="SimSun" w:hAnsi="SimSun"/>
          <w:b w:val="false"/>
          <w:i w:val="false"/>
          <w:color w:val="000000"/>
          <w:sz w:val="21"/>
        </w:rPr>
        <w:t xml:space="preserve">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