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2026哲学(强基计划)本科培养方案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660"/>
        <w:gridCol w:w="840"/>
        <w:gridCol w:w="1843"/>
        <w:gridCol w:w="1844"/>
        <w:gridCol w:w="1680"/>
        <w:gridCol w:w="1200"/>
        <w:gridCol w:w="980"/>
        <w:gridCol w:w="2"/>
        <w:gridCol w:w="5"/>
        <w:gridCol w:w="1060"/>
        <w:gridCol w:w="1520"/>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1.修业年限：4年（类型：R本科、□本硕、□本博）</w:t>
            </w:r>
          </w:p>
        </w:tc>
        <w:tc>
          <w:tcPr>
            <w:tcW w:w="1060" w:type="dxa"/>
            <w:tcBorders>
              <w:bottom w:val="single" w:color="000000" w:sz="8"/>
              <w:right w:val="single" w:color="000000" w:sz="8"/>
            </w:tcBorders>
            <w:tcMar>
              <w:top w:w="15" w:type="dxa"/>
              <w:left w:w="15" w:type="dxa"/>
              <w:bottom w:w="15" w:type="dxa"/>
              <w:right w:w="15" w:type="dxa"/>
            </w:tcMar>
            <w:vAlign w:val="center"/>
          </w:tcPr>
          <w:p/>
        </w:tc>
        <w:tc>
          <w:tcPr>
            <w:tcW w:w="1520"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6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2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6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R按照不少于学分数136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6336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3369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Y”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30729"/>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30729"/>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按照“荣誉项目路径”修读各类课程，修满34学分。要求在"专业进阶课程I"课程中修读至少20学分，在"专业进阶课程II"课程中修读至少14学分（其中须选修1门专业外语，不限方向，限选1门）。同时修读荣誉课程的学分数不低于24学分，即在哲学学院开设的14门荣誉课程中至少修读6门。 
       </w:t>
      </w:r>
      <w:r>
        <w:br/>
      </w:r>
      <w:r>
        <w:rPr>
          <w:rFonts w:ascii="SimSun" w:hAnsi="SimSun"/>
          <w:b w:val="false"/>
          <w:i w:val="false"/>
          <w:color w:val="000000"/>
          <w:sz w:val="21"/>
        </w:rPr>
        <w:t xml:space="preserve">    荣誉课程的学分可按本院制订的课程替代方案进行学分转换与认定，但学分转换与认定只作为本科毕业资格审核的依据，成绩单则如实记载学生所修课程与成绩，不作变更。学生修读荣誉课程的学分如超过用于替换的《普通培养方案》中相应课程的学分可转换成任意选修学分，但成绩不作变更。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val="false"/>
          <w:i w:val="false"/>
          <w:color w:val="000000"/>
          <w:sz w:val="21"/>
        </w:rPr>
        <w:t xml:space="preserve">
       专业进阶模块课程设置如下：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形式知识论</w:t>
            </w:r>
            <w:r>
              <w:br/>
            </w:r>
            <w:r>
              <w:rPr>
                <w:rFonts w:ascii="SimSun" w:hAnsi="SimSun"/>
                <w:b w:val="false"/>
                <w:i w:val="false"/>
                <w:color w:val="000000"/>
                <w:sz w:val="21"/>
              </w:rPr>
              <w:t>Formal 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