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2026哲学(国学方向)本科培养方案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哲学类专业以马克思主义理论与方法为指导，培养德、智、体、美、劳全面发展，有一定哲学理论素养和专业基础知识，有进一步培养潜质的哲学专门人才，以及能在国家机关、 文教事业、 新闻出版、企业等部门从事实际工作的应用型、复合型人才。哲学类专业包括哲学专业、哲学（国学方向）专业、哲学（科学哲学与逻辑学方向）专业、哲学（艺术哲学方向）专业和宗教学专业。哲学类专业侧重培养学生综合掌握和运用哲学各个二级学科理论知识的能力，要求学生能够准确理解马克思主义哲学、中国哲学和西方哲学的理论和历史；具备人文科学、社会科学、自然科学的相关基础知识；掌握哲学的基本研究方法和相应的社会调查能力；熟练地掌握一门外语；具有较强的思维能力、表达能力、社会活动能力和初步的科学研究能力，以及一定的管理能力。哲学（国学方向）专业在哲学大类要求的基础上，还要求学生具有扎实的国学基础知识和较高的古代汉语素养，熟读国学基本经典，掌握中国传统思想的各种流派及其特点。</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1204"/>
        <w:gridCol w:w="1224"/>
        <w:gridCol w:w="1639"/>
        <w:gridCol w:w="1640"/>
        <w:gridCol w:w="1544"/>
        <w:gridCol w:w="1924"/>
        <w:gridCol w:w="1364"/>
        <w:gridCol w:w="1090"/>
        <w:gridCol w:w="1090"/>
        <w:gridCol w:w="1090"/>
        <w:gridCol w:w="1091"/>
      </w:tblGrid>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120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2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54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924"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120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2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54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92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哲学（国学方向）</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364"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专业培养课程55学分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502123" cy="248433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02123" cy="248433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55学分，融合创新能力培养7学分，专业进阶模块I 18学分，专业进阶模块II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3、跨学科学发展路径：136学分</w:t>
      </w:r>
      <w:r>
        <w:br/>
      </w:r>
      <w:r>
        <w:rPr>
          <w:rFonts w:ascii="SimSun" w:hAnsi="SimSun"/>
          <w:b w:val="false"/>
          <w:i w:val="false"/>
          <w:color w:val="000000"/>
          <w:sz w:val="21"/>
        </w:rPr>
        <w:t xml:space="preserve">  本路径学生至少需要完成136学分，包括通识教育课程42学分，专业培养课程55学分，融合创新能力培养7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4、创新创业路径：136学分</w:t>
      </w:r>
      <w:r>
        <w:br/>
      </w:r>
      <w:r>
        <w:rPr>
          <w:rFonts w:ascii="SimSun" w:hAnsi="SimSun"/>
          <w:b w:val="false"/>
          <w:i w:val="false"/>
          <w:color w:val="000000"/>
          <w:sz w:val="21"/>
        </w:rPr>
        <w:t xml:space="preserve"> 本路径学生至少需要完成136学分，包括通识教育课程42学分，专业培养课程55学分，融合创新能力培养7学分，及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p>
    <w:p>
      <w:pPr>
        <w:spacing w:after="0"/>
        <w:ind w:left="0"/>
        <w:jc w:val="left"/>
      </w:pP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4303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43037"/>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r>
        <w:br/>
      </w: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专业培养课程（55学分）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专业核心教育课程（41学分）
      </w:t>
      </w:r>
    </w:p>
    <w:p>
      <w:pPr>
        <w:spacing w:after="0"/>
        <w:ind w:left="0"/>
        <w:jc w:val="left"/>
      </w:pPr>
      <w:r>
        <w:rPr>
          <w:rFonts w:ascii="SimSun" w:hAnsi="SimSun"/>
          <w:b w:val="false"/>
          <w:i w:val="false"/>
          <w:color w:val="000000"/>
          <w:sz w:val="21"/>
        </w:rPr>
        <w:t xml:space="preserve">
       要求修读41学分（部分课程学分可用荣誉课程学分替换），课程设置如下：
      </w:t>
      </w:r>
    </w:p>
    <w:p>
      <w:pPr>
        <w:spacing w:after="0"/>
        <w:ind w:left="0"/>
        <w:jc w:val="left"/>
      </w:pPr>
      <w:r>
        <w:rPr>
          <w:rFonts w:ascii="SimSun" w:hAnsi="SimSun"/>
          <w:b/>
          <w:i w:val="false"/>
          <w:color w:val="000000"/>
          <w:sz w:val="21"/>
        </w:rPr>
        <w:t xml:space="preserve">
       (1) 必修课程（37学分）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小学基础</w:t>
            </w:r>
            <w:r>
              <w:br/>
            </w:r>
            <w:r>
              <w:rPr>
                <w:rFonts w:ascii="SimSun" w:hAnsi="SimSun"/>
                <w:b w:val="false"/>
                <w:i w:val="false"/>
                <w:color w:val="000000"/>
                <w:sz w:val="21"/>
              </w:rPr>
              <w:t>Basic Chinese Philology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国学通论</w:t>
            </w:r>
            <w:r>
              <w:br/>
            </w:r>
            <w:r>
              <w:rPr>
                <w:rFonts w:ascii="SimSun" w:hAnsi="SimSun"/>
                <w:b w:val="false"/>
                <w:i w:val="false"/>
                <w:color w:val="000000"/>
                <w:sz w:val="21"/>
              </w:rPr>
              <w:t>Introduction to Traditional Chinese Learning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《论语》</w:t>
            </w:r>
            <w:r>
              <w:br/>
            </w:r>
            <w:r>
              <w:rPr>
                <w:rFonts w:ascii="SimSun" w:hAnsi="SimSun"/>
                <w:b w:val="false"/>
                <w:i w:val="false"/>
                <w:color w:val="000000"/>
                <w:sz w:val="21"/>
              </w:rPr>
              <w:t>Introduction to The Confucian Analects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《大学》与《中庸》</w:t>
            </w:r>
            <w:r>
              <w:br/>
            </w:r>
            <w:r>
              <w:rPr>
                <w:rFonts w:ascii="SimSun" w:hAnsi="SimSun"/>
                <w:b w:val="false"/>
                <w:i w:val="false"/>
                <w:color w:val="000000"/>
                <w:sz w:val="21"/>
              </w:rPr>
              <w:t>Introduction to The Great Learning and Doctrine of the Mean　</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中国哲学史料学</w:t>
            </w:r>
            <w:r>
              <w:br/>
            </w:r>
            <w:r>
              <w:rPr>
                <w:rFonts w:ascii="SimSun" w:hAnsi="SimSun"/>
                <w:b w:val="false"/>
                <w:i w:val="false"/>
                <w:color w:val="000000"/>
                <w:sz w:val="21"/>
              </w:rPr>
              <w:t>Historical Materials of Chinese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《老子》</w:t>
            </w:r>
            <w:r>
              <w:br/>
            </w:r>
            <w:r>
              <w:rPr>
                <w:rFonts w:ascii="SimSun" w:hAnsi="SimSun"/>
                <w:b w:val="false"/>
                <w:i w:val="false"/>
                <w:color w:val="000000"/>
                <w:sz w:val="21"/>
              </w:rPr>
              <w:t>Introduction to Laozi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《孟子》</w:t>
            </w:r>
            <w:r>
              <w:br/>
            </w:r>
            <w:r>
              <w:rPr>
                <w:rFonts w:ascii="SimSun" w:hAnsi="SimSun"/>
                <w:b w:val="false"/>
                <w:i w:val="false"/>
                <w:color w:val="000000"/>
                <w:sz w:val="21"/>
              </w:rPr>
              <w:t>Introduction to Meng 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《庄子》</w:t>
            </w:r>
            <w:r>
              <w:br/>
            </w:r>
            <w:r>
              <w:rPr>
                <w:rFonts w:ascii="SimSun" w:hAnsi="SimSun"/>
                <w:b w:val="false"/>
                <w:i w:val="false"/>
                <w:color w:val="000000"/>
                <w:sz w:val="21"/>
              </w:rPr>
              <w:t>The Zhuang Zi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《礼记》</w:t>
            </w:r>
            <w:r>
              <w:br/>
            </w:r>
            <w:r>
              <w:rPr>
                <w:rFonts w:ascii="SimSun" w:hAnsi="SimSun"/>
                <w:b w:val="false"/>
                <w:i w:val="false"/>
                <w:color w:val="000000"/>
                <w:sz w:val="21"/>
              </w:rPr>
              <w:t>Introduction to Li Ji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《周易》</w:t>
            </w:r>
            <w:r>
              <w:br/>
            </w:r>
            <w:r>
              <w:rPr>
                <w:rFonts w:ascii="SimSun" w:hAnsi="SimSun"/>
                <w:b w:val="false"/>
                <w:i w:val="false"/>
                <w:color w:val="000000"/>
                <w:sz w:val="21"/>
              </w:rPr>
              <w:t>Introduction to The Book of Changes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《荀子》</w:t>
            </w:r>
            <w:r>
              <w:br/>
            </w:r>
            <w:r>
              <w:rPr>
                <w:rFonts w:ascii="SimSun" w:hAnsi="SimSun"/>
                <w:b w:val="false"/>
                <w:i w:val="false"/>
                <w:color w:val="000000"/>
                <w:sz w:val="21"/>
              </w:rPr>
              <w:t>Introduction to Xunzi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专业进阶路径（32学分）
      </w:t>
      </w:r>
    </w:p>
    <w:p>
      <w:pPr>
        <w:spacing w:after="0"/>
        <w:ind w:left="0"/>
        <w:jc w:val="left"/>
      </w:pPr>
      <w:r>
        <w:rPr>
          <w:rFonts w:ascii="SimSun" w:hAnsi="SimSun"/>
          <w:b w:val="false"/>
          <w:i w:val="false"/>
          <w:color w:val="000000"/>
          <w:sz w:val="21"/>
        </w:rPr>
        <w:t xml:space="preserve">
       修满32学分，要求在"专业进阶课程I"课程中修读至少18学分，在"专业进阶课程II"课程中修读至少14学分（其中须选修1门专业外语，不限方向，限选1门）。
      </w:t>
      </w:r>
    </w:p>
    <w:p>
      <w:pPr>
        <w:spacing w:after="0"/>
        <w:ind w:left="0"/>
        <w:jc w:val="left"/>
      </w:pPr>
      <w:r>
        <w:rPr>
          <w:rFonts w:ascii="SimSun" w:hAnsi="SimSun"/>
          <w:b/>
          <w:i w:val="false"/>
          <w:color w:val="000000"/>
          <w:sz w:val="21"/>
        </w:rPr>
        <w:t xml:space="preserve">
       (1) 专业进阶（32学分）
      </w:t>
      </w:r>
    </w:p>
    <w:p>
      <w:pPr>
        <w:spacing w:after="0"/>
        <w:ind w:left="0"/>
        <w:jc w:val="left"/>
      </w:pPr>
      <w:r>
        <w:rPr>
          <w:rFonts w:ascii="SimSun" w:hAnsi="SimSun"/>
          <w:b/>
          <w:i w:val="false"/>
          <w:color w:val="000000"/>
          <w:sz w:val="21"/>
        </w:rPr>
        <w:t xml:space="preserve">
       a) 专业进阶课程I（18学分）
      </w:t>
      </w:r>
    </w:p>
    <w:p>
      <w:pPr>
        <w:spacing w:after="0"/>
        <w:ind w:left="0"/>
        <w:jc w:val="left"/>
      </w:pPr>
      <w:r>
        <w:rPr>
          <w:rFonts w:ascii="SimSun" w:hAnsi="SimSun"/>
          <w:b w:val="false"/>
          <w:i w:val="false"/>
          <w:color w:val="000000"/>
          <w:sz w:val="21"/>
        </w:rPr>
        <w:t xml:space="preserve">
       要求修读18学分，以下每组至少选修1门，其余可在院内其他专业方向"专业进阶课程I"自由选择。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 文史典籍（2学分）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《文心雕龙》精读</w:t>
            </w:r>
            <w:r>
              <w:br/>
            </w:r>
            <w:r>
              <w:rPr>
                <w:rFonts w:ascii="SimSun" w:hAnsi="SimSun"/>
                <w:b w:val="false"/>
                <w:i w:val="false"/>
                <w:color w:val="000000"/>
                <w:sz w:val="21"/>
              </w:rPr>
              <w:t>Close Reading of The Literary Mind and the Carving of Dragons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《四库提要》精读</w:t>
            </w:r>
            <w:r>
              <w:br/>
            </w:r>
            <w:r>
              <w:rPr>
                <w:rFonts w:ascii="SimSun" w:hAnsi="SimSun"/>
                <w:b w:val="false"/>
                <w:i w:val="false"/>
                <w:color w:val="000000"/>
                <w:sz w:val="21"/>
              </w:rPr>
              <w:t>Close Reading of Essentials of National Encyclopedia of Four Catalogues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《说文解字》精读</w:t>
            </w:r>
            <w:r>
              <w:br/>
            </w:r>
            <w:r>
              <w:rPr>
                <w:rFonts w:ascii="SimSun" w:hAnsi="SimSun"/>
                <w:b w:val="false"/>
                <w:i w:val="false"/>
                <w:color w:val="000000"/>
                <w:sz w:val="21"/>
              </w:rPr>
              <w:t>Close Reading of Shuo Wen Jie Zi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《世说新语》精读</w:t>
            </w:r>
            <w:r>
              <w:br/>
            </w:r>
            <w:r>
              <w:rPr>
                <w:rFonts w:ascii="SimSun" w:hAnsi="SimSun"/>
                <w:b w:val="false"/>
                <w:i w:val="false"/>
                <w:color w:val="000000"/>
                <w:sz w:val="21"/>
              </w:rPr>
              <w:t>Close Reading of Shi Shuo Xin Yu</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CHIN30019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《资治通鉴》讲读</w:t>
            </w:r>
            <w:r>
              <w:br/>
            </w:r>
            <w:r>
              <w:rPr>
                <w:rFonts w:ascii="SimSun" w:hAnsi="SimSun"/>
                <w:b w:val="false"/>
                <w:i w:val="false"/>
                <w:color w:val="000000"/>
                <w:sz w:val="21"/>
              </w:rPr>
              <w:t>Intensive Reading of A Comprehensive Mirror for Aid in Government</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HIST30048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校雠目录学</w:t>
            </w:r>
            <w:r>
              <w:br/>
            </w:r>
            <w:r>
              <w:rPr>
                <w:rFonts w:ascii="SimSun" w:hAnsi="SimSun"/>
                <w:b w:val="false"/>
                <w:i w:val="false"/>
                <w:color w:val="000000"/>
                <w:sz w:val="21"/>
              </w:rPr>
              <w:t>Traditional Bibliography (Collation and Cataloguing)</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《文选》</w:t>
            </w:r>
            <w:r>
              <w:br/>
            </w:r>
            <w:r>
              <w:rPr>
                <w:rFonts w:ascii="SimSun" w:hAnsi="SimSun"/>
                <w:b w:val="false"/>
                <w:i w:val="false"/>
                <w:color w:val="000000"/>
                <w:sz w:val="21"/>
              </w:rPr>
              <w:t>Introduction to Anthology of Literary Works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 断代研究及儒释道专题（2学分）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清代思想专题研究</w:t>
            </w:r>
            <w:r>
              <w:br/>
            </w:r>
            <w:r>
              <w:rPr>
                <w:rFonts w:ascii="SimSun" w:hAnsi="SimSun"/>
                <w:b w:val="false"/>
                <w:i w:val="false"/>
                <w:color w:val="000000"/>
                <w:sz w:val="21"/>
              </w:rPr>
              <w:t>Issues of Thoughts of the Qing Dynasty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秦汉哲学专题研究</w:t>
            </w:r>
            <w:r>
              <w:br/>
            </w:r>
            <w:r>
              <w:rPr>
                <w:rFonts w:ascii="SimSun" w:hAnsi="SimSun"/>
                <w:b w:val="false"/>
                <w:i w:val="false"/>
                <w:color w:val="000000"/>
                <w:sz w:val="21"/>
              </w:rPr>
              <w:t>Issues of the Philosophy of the Qin and Han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魏晋玄学专题研究</w:t>
            </w:r>
            <w:r>
              <w:br/>
            </w:r>
            <w:r>
              <w:rPr>
                <w:rFonts w:ascii="SimSun" w:hAnsi="SimSun"/>
                <w:b w:val="false"/>
                <w:i w:val="false"/>
                <w:color w:val="000000"/>
                <w:sz w:val="21"/>
              </w:rPr>
              <w:t>Issues of the Wei-Jin Xuanxue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宋明理学专题研究</w:t>
            </w:r>
            <w:r>
              <w:br/>
            </w:r>
            <w:r>
              <w:rPr>
                <w:rFonts w:ascii="SimSun" w:hAnsi="SimSun"/>
                <w:b w:val="false"/>
                <w:i w:val="false"/>
                <w:color w:val="000000"/>
                <w:sz w:val="21"/>
              </w:rPr>
              <w:t>Issues of Neo-Confucianism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 经学与子学经典（2学分）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《韩非子》</w:t>
            </w:r>
            <w:r>
              <w:br/>
            </w:r>
            <w:r>
              <w:rPr>
                <w:rFonts w:ascii="SimSun" w:hAnsi="SimSun"/>
                <w:b w:val="false"/>
                <w:i w:val="false"/>
                <w:color w:val="000000"/>
                <w:sz w:val="21"/>
              </w:rPr>
              <w:t>Introduction to Han Fei Zi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《诗经》</w:t>
            </w:r>
            <w:r>
              <w:br/>
            </w:r>
            <w:r>
              <w:rPr>
                <w:rFonts w:ascii="SimSun" w:hAnsi="SimSun"/>
                <w:b w:val="false"/>
                <w:i w:val="false"/>
                <w:color w:val="000000"/>
                <w:sz w:val="21"/>
              </w:rPr>
              <w:t>The Book of Odes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《尚书》</w:t>
            </w:r>
            <w:r>
              <w:br/>
            </w:r>
            <w:r>
              <w:rPr>
                <w:rFonts w:ascii="SimSun" w:hAnsi="SimSun"/>
                <w:b w:val="false"/>
                <w:i w:val="false"/>
                <w:color w:val="000000"/>
                <w:sz w:val="21"/>
              </w:rPr>
              <w:t>Introduction to Shang Shu</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《左传》</w:t>
            </w:r>
            <w:r>
              <w:br/>
            </w:r>
            <w:r>
              <w:rPr>
                <w:rFonts w:ascii="SimSun" w:hAnsi="SimSun"/>
                <w:b w:val="false"/>
                <w:i w:val="false"/>
                <w:color w:val="000000"/>
                <w:sz w:val="21"/>
              </w:rPr>
              <w:t>Introduction to Zuo Zhuan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《公羊传》</w:t>
            </w:r>
            <w:r>
              <w:br/>
            </w:r>
            <w:r>
              <w:rPr>
                <w:rFonts w:ascii="SimSun" w:hAnsi="SimSun"/>
                <w:b w:val="false"/>
                <w:i w:val="false"/>
                <w:color w:val="000000"/>
                <w:sz w:val="21"/>
              </w:rPr>
              <w:t>Introduction to Chun Qiu Gong Yang Zhuan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《近思录》</w:t>
            </w:r>
            <w:r>
              <w:br/>
            </w:r>
            <w:r>
              <w:rPr>
                <w:rFonts w:ascii="SimSun" w:hAnsi="SimSun"/>
                <w:b w:val="false"/>
                <w:i w:val="false"/>
                <w:color w:val="000000"/>
                <w:sz w:val="21"/>
              </w:rPr>
              <w:t>Jin Si Lu</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 其他专题研究（2学分）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荣誉项目路径（32学分）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跨学科发展路径（32学分）
      </w:t>
      </w:r>
    </w:p>
    <w:p>
      <w:pPr>
        <w:spacing w:after="0"/>
        <w:ind w:left="0"/>
        <w:jc w:val="left"/>
      </w:pPr>
      <w:r>
        <w:rPr>
          <w:rFonts w:ascii="SimSun" w:hAnsi="SimSun"/>
          <w:b w:val="false"/>
          <w:i w:val="false"/>
          <w:color w:val="000000"/>
          <w:sz w:val="21"/>
        </w:rPr>
        <w:t xml:space="preserve">
       修满32学分。要求修读2个非本专业独立开设的学程，可选择专业学程或跨学科学程。学分不足部分可在全校所有本科生课程中任意选修。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创新创业路径（32学分）
      </w:t>
      </w:r>
    </w:p>
    <w:p>
      <w:pPr>
        <w:spacing w:after="0"/>
        <w:ind w:left="0"/>
        <w:jc w:val="left"/>
      </w:pPr>
      <w:r>
        <w:rPr>
          <w:rFonts w:ascii="SimSun" w:hAnsi="SimSun"/>
          <w:b w:val="false"/>
          <w:i w:val="false"/>
          <w:color w:val="000000"/>
          <w:sz w:val="21"/>
        </w:rPr>
        <w:t xml:space="preserve">
       修满32学分。要求修读1个创新创业学院开设的创新创业学程，以及1个非本专业独立开设的学程。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辅修学士学位路径（32学分）
      </w:t>
      </w:r>
    </w:p>
    <w:p>
      <w:pPr>
        <w:spacing w:after="0"/>
        <w:ind w:left="0"/>
        <w:jc w:val="left"/>
      </w:pPr>
      <w:r>
        <w:rPr>
          <w:rFonts w:ascii="SimSun" w:hAnsi="SimSun"/>
          <w:b w:val="false"/>
          <w:i w:val="false"/>
          <w:color w:val="000000"/>
          <w:sz w:val="21"/>
        </w:rPr>
        <w:t xml:space="preserve">
       要求至少修读本“专业进阶课程I”模块18学分和1个辅修学士学位项目，辅修学士学位应与主修学士学位归属不同的本科专业大类。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