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2026哲学(宗教学方向)(强基计划)本科培养方案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宗教学专业以马克思主义理论与方法为指导，培养德、智、体、美、劳全面发展，有一定宗教学理论素养和专业基础知识，有进一步培养潜质的宗教学专门人才，以及能在国家机关、 文教事业、 新闻出版、企业等部门从事实际工作的应用型、复合型人才。要求学生在哲学大类要求的基础上，掌握宗教学的基本理论、基础知识和中外宗教发展的基本史实及研究方法；熟悉我国有关宗教的政策法规；具备一定的社会科学、人文科学与自然科学知识；比较熟练地掌握一门外国语；了解国内外宗教学界最重要的理论前沿和发展动态；掌握文献检索和资料查询的基本方法。</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tbl>
      <w:tblPr>
        <w:tblW w:w="0" w:type="auto"/>
        <w:tblCellSpacing w:w="0" w:type="auto"/>
        <w:tblInd w:w="115" w:type="dxa"/>
        <w:tblBorders>
          <w:top w:val="single" w:color="000000" w:sz="8"/>
          <w:left w:val="single" w:color="000000" w:sz="8"/>
          <w:bottom w:val="none"/>
          <w:right w:val="none"/>
          <w:insideH w:val="none"/>
          <w:insideV w:val="none"/>
        </w:tblBorders>
      </w:tblPr>
      <w:tblGrid>
        <w:gridCol w:w="2660"/>
        <w:gridCol w:w="840"/>
        <w:gridCol w:w="1766"/>
        <w:gridCol w:w="1767"/>
        <w:gridCol w:w="1680"/>
        <w:gridCol w:w="1200"/>
        <w:gridCol w:w="980"/>
        <w:gridCol w:w="3"/>
        <w:gridCol w:w="4"/>
        <w:gridCol w:w="1159"/>
        <w:gridCol w:w="1575"/>
      </w:tblGrid>
      <w:tr>
        <w:trPr>
          <w:trHeight w:val="45" w:hRule="atLeast"/>
        </w:trPr>
        <w:tc>
          <w:tcPr>
            <w:tcW w:w="0" w:type="auto"/>
            <w:gridSpan w:val="9"/>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c>
          <w:tcPr>
            <w:tcW w:w="1159" w:type="dxa"/>
            <w:tcBorders>
              <w:bottom w:val="single" w:color="000000" w:sz="8"/>
              <w:right w:val="single" w:color="000000" w:sz="8"/>
            </w:tcBorders>
            <w:tcMar>
              <w:top w:w="15" w:type="dxa"/>
              <w:left w:w="15" w:type="dxa"/>
              <w:bottom w:w="15" w:type="dxa"/>
              <w:right w:w="15" w:type="dxa"/>
            </w:tcMar>
            <w:vAlign w:val="center"/>
          </w:tcPr>
          <w:p/>
        </w:tc>
        <w:tc>
          <w:tcPr>
            <w:tcW w:w="1575" w:type="dxa"/>
            <w:tcBorders>
              <w:bottom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5" w:hRule="atLeast"/>
        </w:trPr>
        <w:tc>
          <w:tcPr>
            <w:tcW w:w="266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68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200"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45" w:hRule="atLeast"/>
        </w:trPr>
        <w:tc>
          <w:tcPr>
            <w:tcW w:w="266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84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哲学学士</w:t>
            </w:r>
          </w:p>
        </w:tc>
        <w:tc>
          <w:tcPr>
            <w:tcW w:w="16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20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宗教学</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☑按照不少于学分数136   </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980"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通识教育课程42学分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专业培养课程53学分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专业进阶模块34学分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63369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633696"/>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1、专业进阶路径：136学分</w:t>
      </w:r>
      <w:r>
        <w:br/>
      </w:r>
      <w:r>
        <w:rPr>
          <w:rFonts w:ascii="SimSun" w:hAnsi="SimSun"/>
          <w:b w:val="false"/>
          <w:i w:val="false"/>
          <w:color w:val="000000"/>
          <w:sz w:val="21"/>
        </w:rPr>
        <w:t xml:space="preserve">  本路径学生需要完成136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42学分，专业培养课程53学分，融合创新能力培养7学分，专业进阶模块I 20学分，专业进阶模块II 14学分。</w:t>
      </w:r>
      <w:r>
        <w:br/>
      </w:r>
      <w:r>
        <w:rPr>
          <w:rFonts w:ascii="SimSun" w:hAnsi="SimSun"/>
          <w:b w:val="false"/>
          <w:i w:val="false"/>
          <w:color w:val="000000"/>
          <w:sz w:val="21"/>
        </w:rPr>
        <w:t>2、本科荣誉项目：136学分</w:t>
      </w:r>
      <w:r>
        <w:br/>
      </w:r>
      <w:r>
        <w:rPr>
          <w:rFonts w:ascii="SimSun" w:hAnsi="SimSun"/>
          <w:b w:val="false"/>
          <w:i w:val="false"/>
          <w:color w:val="000000"/>
          <w:sz w:val="21"/>
        </w:rPr>
        <w:t xml:space="preserve">  在专业进阶路径基础上，修读荣誉课程不少于6门课。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本科学位                                        </w:t>
      </w:r>
      <w:r>
        <w:br/>
      </w:r>
      <w:r>
        <w:rPr>
          <w:rFonts w:ascii="SimSun" w:hAnsi="SimSun"/>
          <w:b w:val="false"/>
          <w:i w:val="false"/>
          <w:color w:val="000000"/>
          <w:sz w:val="21"/>
        </w:rPr>
        <w:t xml:space="preserve"> 4年级结束时，如达到学士学位要求者授予哲学学士学位。                          </w:t>
      </w:r>
      <w:r>
        <w:br/>
      </w:r>
      <w:r>
        <w:rPr>
          <w:rFonts w:ascii="SimSun" w:hAnsi="SimSun"/>
          <w:b w:val="false"/>
          <w:i w:val="false"/>
          <w:color w:val="000000"/>
          <w:sz w:val="21"/>
        </w:rPr>
        <w:t xml:space="preserve">（1）修满规定的学分，达到本科教学培养方案规定的各项要求。                    </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 xml:space="preserve">（3）“强基计划”学生入校后按照“2+X+Y”培养方案中的“荣誉项目”路径修读各类课程。“强基计划”学生实行动态进出制，每学年根据学习成绩进行考核，不合格的学生将转出“强基计划”（详见《复旦大学哲学学院“强基计划”学生管理办法（试行）》）。“强基计划”学生在大一结束时，按照学生意愿可在哲学专业内部各方向进行分流，专业分流后按照各专业方向荣誉项目实施方案进行培养。“强基计划”同学经考核合格，可100%入选本学院“优秀大学生夏令营”，参加推荐免试攻读研究生选拔；满足相关要求的“强基计划”学生将按规定确保获得优先推荐；特别优秀的学生可进入直博生通道；“强基计划”学生可在大四学年修读本专业研究生基础课程，如在本校深造，则按照复旦大学研究生院规定计入研究生成绩。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1208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12086"/>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通识教育课程（42学分）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专业培养课程（53学分）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学科基础课程（14学分）
      </w:t>
      </w:r>
    </w:p>
    <w:p>
      <w:pPr>
        <w:spacing w:after="0"/>
        <w:ind w:left="0"/>
        <w:jc w:val="left"/>
      </w:pPr>
      <w:r>
        <w:rPr>
          <w:rFonts w:ascii="SimSun" w:hAnsi="SimSun"/>
          <w:b/>
          <w:i w:val="false"/>
          <w:color w:val="000000"/>
          <w:sz w:val="21"/>
        </w:rPr>
        <w:t xml:space="preserve">
       (1) 人文基础课程（14学分）
      </w:t>
      </w:r>
    </w:p>
    <w:p>
      <w:pPr>
        <w:spacing w:after="0"/>
        <w:ind w:left="0"/>
        <w:jc w:val="left"/>
      </w:pPr>
      <w:r>
        <w:rPr>
          <w:rFonts w:ascii="SimSun" w:hAnsi="SimSun"/>
          <w:b w:val="false"/>
          <w:i w:val="false"/>
          <w:color w:val="000000"/>
          <w:sz w:val="21"/>
        </w:rPr>
        <w:t xml:space="preserve">
       要求修读人文类基础课程14学分，必修课程5门，其中“哲学导论”和“逻辑学”，要求在第一学期修完。
      </w:t>
      </w:r>
    </w:p>
    <w:p>
      <w:pPr>
        <w:spacing w:after="0"/>
        <w:ind w:left="0"/>
        <w:jc w:val="left"/>
      </w:pPr>
      <w:r>
        <w:rPr>
          <w:rFonts w:ascii="SimSun" w:hAnsi="SimSun"/>
          <w:b/>
          <w:i w:val="false"/>
          <w:color w:val="000000"/>
          <w:sz w:val="21"/>
        </w:rPr>
        <w:t xml:space="preserve">
       a) 基础理论课程（跨院系必修）（14学分）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专业核心教育课程（39学分）
      </w:t>
      </w:r>
    </w:p>
    <w:p>
      <w:pPr>
        <w:spacing w:after="0"/>
        <w:ind w:left="0"/>
        <w:jc w:val="left"/>
      </w:pPr>
      <w:r>
        <w:rPr>
          <w:rFonts w:ascii="SimSun" w:hAnsi="SimSun"/>
          <w:b w:val="false"/>
          <w:i w:val="false"/>
          <w:color w:val="000000"/>
          <w:sz w:val="21"/>
        </w:rPr>
        <w:t xml:space="preserve">
       要求修读39学分（部分课程学分可用荣誉课程学分替换），课程设置如下：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宗教社会学</w:t>
            </w:r>
            <w:r>
              <w:br/>
            </w:r>
            <w:r>
              <w:rPr>
                <w:rFonts w:ascii="SimSun" w:hAnsi="SimSun"/>
                <w:b w:val="false"/>
                <w:i w:val="false"/>
                <w:color w:val="000000"/>
                <w:sz w:val="21"/>
              </w:rPr>
              <w:t>Sociology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w:t>
            </w:r>
            <w:r>
              <w:br/>
            </w:r>
            <w:r>
              <w:rPr>
                <w:rFonts w:ascii="SimSun" w:hAnsi="SimSun"/>
                <w:b w:val="false"/>
                <w:i w:val="false"/>
                <w:color w:val="000000"/>
                <w:sz w:val="21"/>
              </w:rPr>
              <w:t>Philosophy of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佛教哲学</w:t>
            </w:r>
            <w:r>
              <w:br/>
            </w:r>
            <w:r>
              <w:rPr>
                <w:rFonts w:ascii="SimSun" w:hAnsi="SimSun"/>
                <w:b w:val="false"/>
                <w:i w:val="false"/>
                <w:color w:val="000000"/>
                <w:sz w:val="21"/>
              </w:rPr>
              <w:t>Philosophy of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圣经学概论</w:t>
            </w:r>
            <w:r>
              <w:br/>
            </w:r>
            <w:r>
              <w:rPr>
                <w:rFonts w:ascii="SimSun" w:hAnsi="SimSun"/>
                <w:b w:val="false"/>
                <w:i w:val="false"/>
                <w:color w:val="000000"/>
                <w:sz w:val="21"/>
              </w:rPr>
              <w:t>Introduction to the Biblical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民间宗教与道教</w:t>
            </w:r>
            <w:r>
              <w:br/>
            </w:r>
            <w:r>
              <w:rPr>
                <w:rFonts w:ascii="SimSun" w:hAnsi="SimSun"/>
                <w:b w:val="false"/>
                <w:i w:val="false"/>
                <w:color w:val="000000"/>
                <w:sz w:val="21"/>
              </w:rPr>
              <w:t>Folk religion and Taoism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阿拉伯哲学</w:t>
            </w:r>
            <w:r>
              <w:br/>
            </w:r>
            <w:r>
              <w:rPr>
                <w:rFonts w:ascii="SimSun" w:hAnsi="SimSun"/>
                <w:b w:val="false"/>
                <w:i w:val="false"/>
                <w:color w:val="000000"/>
                <w:sz w:val="21"/>
              </w:rPr>
              <w:t>Arabic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儒教的理论与历史</w:t>
            </w:r>
            <w:r>
              <w:br/>
            </w:r>
            <w:r>
              <w:rPr>
                <w:rFonts w:ascii="SimSun" w:hAnsi="SimSun"/>
                <w:b w:val="false"/>
                <w:i w:val="false"/>
                <w:color w:val="000000"/>
                <w:sz w:val="21"/>
              </w:rPr>
              <w:t>Theory and History of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比较宗教学</w:t>
            </w:r>
            <w:r>
              <w:br/>
            </w:r>
            <w:r>
              <w:rPr>
                <w:rFonts w:ascii="SimSun" w:hAnsi="SimSun"/>
                <w:b w:val="false"/>
                <w:i w:val="false"/>
                <w:color w:val="000000"/>
                <w:sz w:val="21"/>
              </w:rPr>
              <w:t>Comparative Religious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宗教人类学</w:t>
            </w:r>
            <w:r>
              <w:br/>
            </w:r>
            <w:r>
              <w:rPr>
                <w:rFonts w:ascii="SimSun" w:hAnsi="SimSun"/>
                <w:b w:val="false"/>
                <w:i w:val="false"/>
                <w:color w:val="000000"/>
                <w:sz w:val="21"/>
              </w:rPr>
              <w:t>Religious Anthropology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中国佛教史</w:t>
            </w:r>
            <w:r>
              <w:br/>
            </w:r>
            <w:r>
              <w:rPr>
                <w:rFonts w:ascii="SimSun" w:hAnsi="SimSun"/>
                <w:b w:val="false"/>
                <w:i w:val="false"/>
                <w:color w:val="000000"/>
                <w:sz w:val="21"/>
              </w:rPr>
              <w:t>History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《古兰经》研究</w:t>
            </w:r>
            <w:r>
              <w:br/>
            </w:r>
            <w:r>
              <w:rPr>
                <w:rFonts w:ascii="SimSun" w:hAnsi="SimSun"/>
                <w:b w:val="false"/>
                <w:i w:val="false"/>
                <w:color w:val="000000"/>
                <w:sz w:val="21"/>
              </w:rPr>
              <w:t>Study of Koran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中国佛教思想史</w:t>
            </w:r>
            <w:r>
              <w:br/>
            </w:r>
            <w:r>
              <w:rPr>
                <w:rFonts w:ascii="SimSun" w:hAnsi="SimSun"/>
                <w:b w:val="false"/>
                <w:i w:val="false"/>
                <w:color w:val="000000"/>
                <w:sz w:val="21"/>
              </w:rPr>
              <w:t>History of Chinese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印度佛教思想史</w:t>
            </w:r>
            <w:r>
              <w:br/>
            </w:r>
            <w:r>
              <w:rPr>
                <w:rFonts w:ascii="SimSun" w:hAnsi="SimSun"/>
                <w:b w:val="false"/>
                <w:i w:val="false"/>
                <w:color w:val="000000"/>
                <w:sz w:val="21"/>
              </w:rPr>
              <w:t>History of Indian Buddhist Thought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全球基督教史</w:t>
            </w:r>
            <w:r>
              <w:br/>
            </w:r>
            <w:r>
              <w:rPr>
                <w:rFonts w:ascii="SimSun" w:hAnsi="SimSun"/>
                <w:b w:val="false"/>
                <w:i w:val="false"/>
                <w:color w:val="000000"/>
                <w:sz w:val="21"/>
              </w:rPr>
              <w:t>The Global History of Christianity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强基专业发展课程
      </w:t>
      </w:r>
    </w:p>
    <w:p>
      <w:pPr>
        <w:spacing w:after="0"/>
        <w:ind w:left="0"/>
        <w:jc w:val="left"/>
      </w:pPr>
      <w:r>
        <w:rPr>
          <w:rFonts w:ascii="SimSun" w:hAnsi="SimSun"/>
          <w:b w:val="false"/>
          <w:i w:val="false"/>
          <w:color w:val="000000"/>
          <w:sz w:val="21"/>
        </w:rPr>
        <w:t xml:space="preserve">
       按照“荣誉项目路径”修读各类课程，修满32学分。要求在"专业进阶课程I"课程中修读至少18学分，在"专业进阶课程II"课程中修读至少14学分（其中须选修1门专业外语，不限方向，限选1门）。同时修读荣誉课程的学分数不低于24学分，即在哲学学院开设的14门荣誉课程中至少修读6门。
       </w:t>
      </w:r>
      <w:r>
        <w:br/>
      </w:r>
      <w:r>
        <w:rPr>
          <w:rFonts w:ascii="SimSun" w:hAnsi="SimSun"/>
          <w:b w:val="false"/>
          <w:i w:val="false"/>
          <w:color w:val="000000"/>
          <w:sz w:val="21"/>
        </w:rPr>
        <w:t xml:space="preserve">荣誉课程的学分可按本院制订的课程替代方案进行学分转换与认定，但学分转换与认定只作为本科毕业资格审核的依据，成绩单则如实记载学生所修课程与成绩，不作变更。学生修读荣誉课程的学分如超过用于替换的《普通培养方案》中相应课程的学分可转换成任意选修学分，但成绩不作变更。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专业进阶路径（34学分）
      </w:t>
      </w:r>
    </w:p>
    <w:p>
      <w:pPr>
        <w:spacing w:after="0"/>
        <w:ind w:left="0"/>
        <w:jc w:val="left"/>
      </w:pPr>
      <w:r>
        <w:rPr>
          <w:rFonts w:ascii="SimSun" w:hAnsi="SimSun"/>
          <w:b w:val="false"/>
          <w:i w:val="false"/>
          <w:color w:val="000000"/>
          <w:sz w:val="21"/>
        </w:rPr>
        <w:t xml:space="preserve">
           修满34学分，要求在"专业进阶课程I"课程中修读至少20学分，在"专业进阶课程II"课程中修读至少14学分（其中须选修1门专业外语，不限方向，限选1门）。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专业进阶（34学分）
      </w:t>
      </w:r>
    </w:p>
    <w:p>
      <w:pPr>
        <w:spacing w:after="0"/>
        <w:ind w:left="0"/>
        <w:jc w:val="left"/>
      </w:pPr>
      <w:r>
        <w:rPr>
          <w:rFonts w:ascii="SimSun" w:hAnsi="SimSun"/>
          <w:b/>
          <w:i w:val="false"/>
          <w:color w:val="000000"/>
          <w:sz w:val="21"/>
        </w:rPr>
        <w:t xml:space="preserve">
       a) 专业进阶课程I（20学分）
      </w:t>
      </w:r>
    </w:p>
    <w:p>
      <w:pPr>
        <w:spacing w:after="0"/>
        <w:ind w:left="0"/>
        <w:jc w:val="left"/>
      </w:pPr>
      <w:r>
        <w:rPr>
          <w:rFonts w:ascii="SimSun" w:hAnsi="SimSun"/>
          <w:b w:val="false"/>
          <w:i w:val="false"/>
          <w:color w:val="000000"/>
          <w:sz w:val="21"/>
        </w:rPr>
        <w:t xml:space="preserve">
       要求修读20学分，以下每组至少选修1门，其余可在院内其他专业方向"专业进阶课程I"自由选择。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宗教哲学</w:t>
            </w:r>
            <w:r>
              <w:br/>
            </w:r>
            <w:r>
              <w:rPr>
                <w:rFonts w:ascii="SimSun" w:hAnsi="SimSun"/>
                <w:b w:val="false"/>
                <w:i w:val="false"/>
                <w:color w:val="000000"/>
                <w:sz w:val="21"/>
              </w:rPr>
              <w:t>Philosophy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宗教伦理学</w:t>
            </w:r>
            <w:r>
              <w:br/>
            </w:r>
            <w:r>
              <w:rPr>
                <w:rFonts w:ascii="SimSun" w:hAnsi="SimSun"/>
                <w:b w:val="false"/>
                <w:i w:val="false"/>
                <w:color w:val="000000"/>
                <w:sz w:val="21"/>
              </w:rPr>
              <w:t>Religious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宗教对话的理论和现状</w:t>
            </w:r>
            <w:r>
              <w:br/>
            </w:r>
            <w:r>
              <w:rPr>
                <w:rFonts w:ascii="SimSun" w:hAnsi="SimSun"/>
                <w:b w:val="false"/>
                <w:i w:val="false"/>
                <w:color w:val="000000"/>
                <w:sz w:val="21"/>
              </w:rPr>
              <w:t>Hermeneutics and Pluralistic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中国宗教的田野研究</w:t>
            </w:r>
            <w:r>
              <w:br/>
            </w:r>
            <w:r>
              <w:rPr>
                <w:rFonts w:ascii="SimSun" w:hAnsi="SimSun"/>
                <w:b w:val="false"/>
                <w:i w:val="false"/>
                <w:color w:val="000000"/>
                <w:sz w:val="21"/>
              </w:rPr>
              <w:t>Field Studies on China’s Religions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巴利语Ⅱ</w:t>
            </w:r>
            <w:r>
              <w:br/>
            </w:r>
            <w:r>
              <w:rPr>
                <w:rFonts w:ascii="SimSun" w:hAnsi="SimSun"/>
                <w:b w:val="false"/>
                <w:i w:val="false"/>
                <w:color w:val="000000"/>
                <w:sz w:val="21"/>
              </w:rPr>
              <w:t>Pali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汉传佛教哲学</w:t>
            </w:r>
            <w:r>
              <w:br/>
            </w:r>
            <w:r>
              <w:rPr>
                <w:rFonts w:ascii="SimSun" w:hAnsi="SimSun"/>
                <w:b w:val="false"/>
                <w:i w:val="false"/>
                <w:color w:val="000000"/>
                <w:sz w:val="21"/>
              </w:rPr>
              <w:t>Philosophy of Chinese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藏传佛教</w:t>
            </w:r>
            <w:r>
              <w:br/>
            </w:r>
            <w:r>
              <w:rPr>
                <w:rFonts w:ascii="SimSun" w:hAnsi="SimSun"/>
                <w:b w:val="false"/>
                <w:i w:val="false"/>
                <w:color w:val="000000"/>
                <w:sz w:val="21"/>
              </w:rPr>
              <w:t>Tibet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印度哲学与宗教</w:t>
            </w:r>
            <w:r>
              <w:br/>
            </w:r>
            <w:r>
              <w:rPr>
                <w:rFonts w:ascii="SimSun" w:hAnsi="SimSun"/>
                <w:b w:val="false"/>
                <w:i w:val="false"/>
                <w:color w:val="000000"/>
                <w:sz w:val="21"/>
              </w:rPr>
              <w:t>Indian Philosophy and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佛教经典选读</w:t>
            </w:r>
            <w:r>
              <w:br/>
            </w:r>
            <w:r>
              <w:rPr>
                <w:rFonts w:ascii="SimSun" w:hAnsi="SimSun"/>
                <w:b w:val="false"/>
                <w:i w:val="false"/>
                <w:color w:val="000000"/>
                <w:sz w:val="21"/>
              </w:rPr>
              <w:t>Selected Readings of Buddhist Scriptures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印度哲学选读</w:t>
            </w:r>
            <w:r>
              <w:br/>
            </w:r>
            <w:r>
              <w:rPr>
                <w:rFonts w:ascii="SimSun" w:hAnsi="SimSun"/>
                <w:b w:val="false"/>
                <w:i w:val="false"/>
                <w:color w:val="000000"/>
                <w:sz w:val="21"/>
              </w:rPr>
              <w:t>Selected Readings in Indian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PHIL30147</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当代天主教</w:t>
            </w:r>
            <w:r>
              <w:br/>
            </w:r>
            <w:r>
              <w:rPr>
                <w:rFonts w:ascii="SimSun" w:hAnsi="SimSun"/>
                <w:b w:val="false"/>
                <w:i w:val="false"/>
                <w:color w:val="000000"/>
                <w:sz w:val="21"/>
              </w:rPr>
              <w:t>Contemporary Catholic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中国基督教</w:t>
            </w:r>
            <w:r>
              <w:br/>
            </w:r>
            <w:r>
              <w:rPr>
                <w:rFonts w:ascii="SimSun" w:hAnsi="SimSun"/>
                <w:b w:val="false"/>
                <w:i w:val="false"/>
                <w:color w:val="000000"/>
                <w:sz w:val="21"/>
              </w:rPr>
              <w:t>Chinese Christianity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《神圣与世俗》</w:t>
            </w:r>
            <w:r>
              <w:br/>
            </w:r>
            <w:r>
              <w:rPr>
                <w:rFonts w:ascii="SimSun" w:hAnsi="SimSun"/>
                <w:b w:val="false"/>
                <w:i w:val="false"/>
                <w:color w:val="000000"/>
                <w:sz w:val="21"/>
              </w:rPr>
              <w:t>Introduction to The Sacred and The Profane:The Nature of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犹太教历史、理论与实践</w:t>
            </w:r>
            <w:r>
              <w:br/>
            </w:r>
            <w:r>
              <w:rPr>
                <w:rFonts w:ascii="SimSun" w:hAnsi="SimSun"/>
                <w:b w:val="false"/>
                <w:i w:val="false"/>
                <w:color w:val="000000"/>
                <w:sz w:val="21"/>
              </w:rPr>
              <w:t>Judaism: Its History, Thought and Practice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PHIL30153</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新兴宗教概论</w:t>
            </w:r>
            <w:r>
              <w:br/>
            </w:r>
            <w:r>
              <w:rPr>
                <w:rFonts w:ascii="SimSun" w:hAnsi="SimSun"/>
                <w:b w:val="false"/>
                <w:i w:val="false"/>
                <w:color w:val="000000"/>
                <w:sz w:val="21"/>
              </w:rPr>
              <w:t>Introduction to Newly Emerging Religion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亚伯拉罕宗教研究</w:t>
            </w:r>
            <w:r>
              <w:br/>
            </w:r>
            <w:r>
              <w:rPr>
                <w:rFonts w:ascii="SimSun" w:hAnsi="SimSun"/>
                <w:b w:val="false"/>
                <w:i w:val="false"/>
                <w:color w:val="000000"/>
                <w:sz w:val="21"/>
              </w:rPr>
              <w:t>Study of Abraham Religions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明清基督教研究</w:t>
            </w:r>
            <w:r>
              <w:br/>
            </w:r>
            <w:r>
              <w:rPr>
                <w:rFonts w:ascii="SimSun" w:hAnsi="SimSun"/>
                <w:b w:val="false"/>
                <w:i w:val="false"/>
                <w:color w:val="000000"/>
                <w:sz w:val="21"/>
              </w:rPr>
              <w:t>Study of Christianity of the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佛教专题研究</w:t>
            </w:r>
            <w:r>
              <w:br/>
            </w:r>
            <w:r>
              <w:rPr>
                <w:rFonts w:ascii="SimSun" w:hAnsi="SimSun"/>
                <w:b w:val="false"/>
                <w:i w:val="false"/>
                <w:color w:val="000000"/>
                <w:sz w:val="21"/>
              </w:rPr>
              <w:t>Studies on Selected Topics in Buddhism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基督教哲学专题</w:t>
            </w:r>
            <w:r>
              <w:br/>
            </w:r>
            <w:r>
              <w:rPr>
                <w:rFonts w:ascii="SimSun" w:hAnsi="SimSun"/>
                <w:b w:val="false"/>
                <w:i w:val="false"/>
                <w:color w:val="000000"/>
                <w:sz w:val="21"/>
              </w:rPr>
              <w:t>Themes in Christian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专业进阶课程II（14学分）
      </w:t>
      </w:r>
    </w:p>
    <w:p>
      <w:pPr>
        <w:spacing w:after="0"/>
        <w:ind w:left="0"/>
        <w:jc w:val="left"/>
      </w:pPr>
      <w:r>
        <w:rPr>
          <w:rFonts w:ascii="SimSun" w:hAnsi="SimSun"/>
          <w:b w:val="false"/>
          <w:i w:val="false"/>
          <w:color w:val="000000"/>
          <w:sz w:val="21"/>
        </w:rPr>
        <w:t xml:space="preserve">
       要求在本"专业进阶课程II"中修读至少14学分,须选修1门专业外语（不限方向，限选1门）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中国经学史专题研究</w:t>
            </w:r>
            <w:r>
              <w:br/>
            </w:r>
            <w:r>
              <w:rPr>
                <w:rFonts w:ascii="SimSun" w:hAnsi="SimSun"/>
                <w:b w:val="false"/>
                <w:i w:val="false"/>
                <w:color w:val="000000"/>
                <w:sz w:val="21"/>
              </w:rPr>
              <w:t>Issues of the History of Confucian Cannonical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朱子学与阳明学研究</w:t>
            </w:r>
            <w:r>
              <w:br/>
            </w:r>
            <w:r>
              <w:rPr>
                <w:rFonts w:ascii="SimSun" w:hAnsi="SimSun"/>
                <w:b w:val="false"/>
                <w:i w:val="false"/>
                <w:color w:val="000000"/>
                <w:sz w:val="21"/>
              </w:rPr>
              <w:t>Issues of the Zhu Xi school and the Yangming School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当代新儒家专题研究</w:t>
            </w:r>
            <w:r>
              <w:br/>
            </w:r>
            <w:r>
              <w:rPr>
                <w:rFonts w:ascii="SimSun" w:hAnsi="SimSun"/>
                <w:b w:val="false"/>
                <w:i w:val="false"/>
                <w:color w:val="000000"/>
                <w:sz w:val="21"/>
              </w:rPr>
              <w:t>Issues of Contemporary New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中国传统政治哲学研究</w:t>
            </w:r>
            <w:r>
              <w:br/>
            </w:r>
            <w:r>
              <w:rPr>
                <w:rFonts w:ascii="SimSun" w:hAnsi="SimSun"/>
                <w:b w:val="false"/>
                <w:i w:val="false"/>
                <w:color w:val="000000"/>
                <w:sz w:val="21"/>
              </w:rPr>
              <w:t>Issues of Traditional Chinese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中西比较哲学专题研究</w:t>
            </w:r>
            <w:r>
              <w:br/>
            </w:r>
            <w:r>
              <w:rPr>
                <w:rFonts w:ascii="SimSun" w:hAnsi="SimSun"/>
                <w:b w:val="false"/>
                <w:i w:val="false"/>
                <w:color w:val="000000"/>
                <w:sz w:val="21"/>
              </w:rPr>
              <w:t>Chinese and Western Comparative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海外中国哲学研究专题</w:t>
            </w:r>
            <w:r>
              <w:br/>
            </w:r>
            <w:r>
              <w:rPr>
                <w:rFonts w:ascii="SimSun" w:hAnsi="SimSun"/>
                <w:b w:val="false"/>
                <w:i w:val="false"/>
                <w:color w:val="000000"/>
                <w:sz w:val="21"/>
              </w:rPr>
              <w:t>Topics on Overseas Chinese Philosophy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东亚儒学探究</w:t>
            </w:r>
            <w:r>
              <w:br/>
            </w:r>
            <w:r>
              <w:rPr>
                <w:rFonts w:ascii="SimSun" w:hAnsi="SimSun"/>
                <w:b w:val="false"/>
                <w:i w:val="false"/>
                <w:color w:val="000000"/>
                <w:sz w:val="21"/>
              </w:rPr>
              <w:t>Studies of East Asian Confucianism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力迫法</w:t>
            </w:r>
            <w:r>
              <w:br/>
            </w:r>
            <w:r>
              <w:rPr>
                <w:rFonts w:ascii="SimSun" w:hAnsi="SimSun"/>
                <w:b w:val="false"/>
                <w:i w:val="false"/>
                <w:color w:val="000000"/>
                <w:sz w:val="21"/>
              </w:rPr>
              <w:t>Forcing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意义理论研究</w:t>
            </w:r>
            <w:r>
              <w:br/>
            </w:r>
            <w:r>
              <w:rPr>
                <w:rFonts w:ascii="SimSun" w:hAnsi="SimSun"/>
                <w:b w:val="false"/>
                <w:i w:val="false"/>
                <w:color w:val="000000"/>
                <w:sz w:val="21"/>
              </w:rPr>
              <w:t>Study of Theory of Significance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科学实在论研究</w:t>
            </w:r>
            <w:r>
              <w:br/>
            </w:r>
            <w:r>
              <w:rPr>
                <w:rFonts w:ascii="SimSun" w:hAnsi="SimSun"/>
                <w:b w:val="false"/>
                <w:i w:val="false"/>
                <w:color w:val="000000"/>
                <w:sz w:val="21"/>
              </w:rPr>
              <w:t>Study of Scientific Realism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科学解释研究</w:t>
            </w:r>
            <w:r>
              <w:br/>
            </w:r>
            <w:r>
              <w:rPr>
                <w:rFonts w:ascii="SimSun" w:hAnsi="SimSun"/>
                <w:b w:val="false"/>
                <w:i w:val="false"/>
                <w:color w:val="000000"/>
                <w:sz w:val="21"/>
              </w:rPr>
              <w:t>Study of Scientific Explanation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科学实践哲学</w:t>
            </w:r>
            <w:r>
              <w:br/>
            </w:r>
            <w:r>
              <w:rPr>
                <w:rFonts w:ascii="SimSun" w:hAnsi="SimSun"/>
                <w:b w:val="false"/>
                <w:i w:val="false"/>
                <w:color w:val="000000"/>
                <w:sz w:val="21"/>
              </w:rPr>
              <w:t>Philosophy of Scientific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模型论进阶</w:t>
            </w:r>
            <w:r>
              <w:br/>
            </w:r>
            <w:r>
              <w:rPr>
                <w:rFonts w:ascii="SimSun" w:hAnsi="SimSun"/>
                <w:b w:val="false"/>
                <w:i w:val="false"/>
                <w:color w:val="000000"/>
                <w:sz w:val="21"/>
              </w:rPr>
              <w:t>Advanced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集合论进阶</w:t>
            </w:r>
            <w:r>
              <w:br/>
            </w:r>
            <w:r>
              <w:rPr>
                <w:rFonts w:ascii="SimSun" w:hAnsi="SimSun"/>
                <w:b w:val="false"/>
                <w:i w:val="false"/>
                <w:color w:val="000000"/>
                <w:sz w:val="21"/>
              </w:rPr>
              <w:t>Advanced Set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德国古典美学专题研究</w:t>
            </w:r>
            <w:r>
              <w:br/>
            </w:r>
            <w:r>
              <w:rPr>
                <w:rFonts w:ascii="SimSun" w:hAnsi="SimSun"/>
                <w:b w:val="false"/>
                <w:i w:val="false"/>
                <w:color w:val="000000"/>
                <w:sz w:val="21"/>
              </w:rPr>
              <w:t>Topics on German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中西艺术专题</w:t>
            </w:r>
            <w:r>
              <w:br/>
            </w:r>
            <w:r>
              <w:rPr>
                <w:rFonts w:ascii="SimSun" w:hAnsi="SimSun"/>
                <w:b w:val="false"/>
                <w:i w:val="false"/>
                <w:color w:val="000000"/>
                <w:sz w:val="21"/>
              </w:rPr>
              <w:t>The Seminar of Chinese and West Arts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黑格尔美学思想</w:t>
            </w:r>
            <w:r>
              <w:br/>
            </w:r>
            <w:r>
              <w:rPr>
                <w:rFonts w:ascii="SimSun" w:hAnsi="SimSun"/>
                <w:b w:val="false"/>
                <w:i w:val="false"/>
                <w:color w:val="000000"/>
                <w:sz w:val="21"/>
              </w:rPr>
              <w:t>On Hegel’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中国古典美学专题</w:t>
            </w:r>
            <w:r>
              <w:br/>
            </w:r>
            <w:r>
              <w:rPr>
                <w:rFonts w:ascii="SimSun" w:hAnsi="SimSun"/>
                <w:b w:val="false"/>
                <w:i w:val="false"/>
                <w:color w:val="000000"/>
                <w:sz w:val="21"/>
              </w:rPr>
              <w:t>Topics in Chinese Classical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艺术展览与艺术理论专题</w:t>
            </w:r>
            <w:r>
              <w:br/>
            </w:r>
            <w:r>
              <w:rPr>
                <w:rFonts w:ascii="SimSun" w:hAnsi="SimSun"/>
                <w:b w:val="false"/>
                <w:i w:val="false"/>
                <w:color w:val="000000"/>
                <w:sz w:val="21"/>
              </w:rPr>
              <w:t>Topical Studies of Art Exhibitions and Theories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帝国秩序与帝国主义</w:t>
            </w:r>
            <w:r>
              <w:br/>
            </w:r>
            <w:r>
              <w:rPr>
                <w:rFonts w:ascii="SimSun" w:hAnsi="SimSun"/>
                <w:b w:val="false"/>
                <w:i w:val="false"/>
                <w:color w:val="000000"/>
                <w:sz w:val="21"/>
              </w:rPr>
              <w:t>Imperial Order and Imperialism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政治思想专题：经典与当代</w:t>
            </w:r>
            <w:r>
              <w:br/>
            </w:r>
            <w:r>
              <w:rPr>
                <w:rFonts w:ascii="SimSun" w:hAnsi="SimSun"/>
                <w:b w:val="false"/>
                <w:i w:val="false"/>
                <w:color w:val="000000"/>
                <w:sz w:val="21"/>
              </w:rPr>
              <w:t>Key Themes in Political Thought: Classics and Contemporary Issues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《资本论》与现代世界</w:t>
            </w:r>
            <w:r>
              <w:br/>
            </w:r>
            <w:r>
              <w:rPr>
                <w:rFonts w:ascii="SimSun" w:hAnsi="SimSun"/>
                <w:b w:val="false"/>
                <w:i w:val="false"/>
                <w:color w:val="000000"/>
                <w:sz w:val="21"/>
              </w:rPr>
              <w:t>Marx’s Capital and Modern World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繁荣与贫困：历史视野下的经济发展</w:t>
            </w:r>
            <w:r>
              <w:br/>
            </w:r>
            <w:r>
              <w:rPr>
                <w:rFonts w:ascii="SimSun" w:hAnsi="SimSun"/>
                <w:b w:val="false"/>
                <w:i w:val="false"/>
                <w:color w:val="000000"/>
                <w:sz w:val="21"/>
              </w:rPr>
              <w:t>Prosperity and Poverty: Economic Development in Historical Perspective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当代西方艺术哲学</w:t>
            </w:r>
            <w:r>
              <w:br/>
            </w:r>
            <w:r>
              <w:rPr>
                <w:rFonts w:ascii="SimSun" w:hAnsi="SimSun"/>
                <w:b w:val="false"/>
                <w:i w:val="false"/>
                <w:color w:val="000000"/>
                <w:sz w:val="21"/>
              </w:rPr>
              <w:t>Contemporary Western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中国心学传统：先秦至近现代</w:t>
            </w:r>
            <w:r>
              <w:br/>
            </w:r>
            <w:r>
              <w:rPr>
                <w:rFonts w:ascii="SimSun" w:hAnsi="SimSun"/>
                <w:b w:val="false"/>
                <w:i w:val="false"/>
                <w:color w:val="000000"/>
                <w:sz w:val="21"/>
              </w:rPr>
              <w:t>Tradition of Chinese Heart-Mind Philosophy: From Pre-Qin to Modern Time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专业外语（2学分）
      </w:t>
      </w:r>
    </w:p>
    <w:tbl>
      <w:tblPr>
        <w:tblW w:w="0" w:type="auto"/>
        <w:tblCellSpacing w:w="0" w:type="auto"/>
        <w:tblBorders>
          <w:top w:val="none"/>
          <w:left w:val="none"/>
          <w:bottom w:val="none"/>
          <w:right w:val="none"/>
          <w:insideH w:val="none"/>
          <w:insideV w:val="none"/>
        </w:tblBorders>
      </w:tblPr>
      <w:tblGrid>
        <w:gridCol w:w="3227"/>
        <w:gridCol w:w="806"/>
        <w:gridCol w:w="806"/>
        <w:gridCol w:w="1129"/>
        <w:gridCol w:w="1696"/>
        <w:gridCol w:w="806"/>
        <w:gridCol w:w="806"/>
        <w:gridCol w:w="806"/>
        <w:gridCol w:w="806"/>
        <w:gridCol w:w="1130"/>
        <w:gridCol w:w="1616"/>
      </w:tblGrid>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哲学专业外语</w:t>
            </w:r>
            <w:r>
              <w:br/>
            </w:r>
            <w:r>
              <w:rPr>
                <w:rFonts w:ascii="SimSun" w:hAnsi="SimSun"/>
                <w:b w:val="false"/>
                <w:i w:val="false"/>
                <w:color w:val="000000"/>
                <w:sz w:val="21"/>
              </w:rPr>
              <w:t>Foreign Languages for Philosophy Proper</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国学专业外语</w:t>
            </w:r>
            <w:r>
              <w:br/>
            </w:r>
            <w:r>
              <w:rPr>
                <w:rFonts w:ascii="SimSun" w:hAnsi="SimSun"/>
                <w:b w:val="false"/>
                <w:i w:val="false"/>
                <w:color w:val="000000"/>
                <w:sz w:val="21"/>
              </w:rPr>
              <w:t>Foreign languages for Sinology</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科逻专业外语</w:t>
            </w:r>
            <w:r>
              <w:br/>
            </w:r>
            <w:r>
              <w:rPr>
                <w:rFonts w:ascii="SimSun" w:hAnsi="SimSun"/>
                <w:b w:val="false"/>
                <w:i w:val="false"/>
                <w:color w:val="000000"/>
                <w:sz w:val="21"/>
              </w:rPr>
              <w:t>Foreign Languages for the Philosophy of Science and Logic</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宗教学专业外语</w:t>
            </w:r>
            <w:r>
              <w:br/>
            </w:r>
            <w:r>
              <w:rPr>
                <w:rFonts w:ascii="SimSun" w:hAnsi="SimSun"/>
                <w:b w:val="false"/>
                <w:i w:val="false"/>
                <w:color w:val="000000"/>
                <w:sz w:val="21"/>
              </w:rPr>
              <w:t>Foreign Languages for Religions Studies</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PHIL40018</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藏语Ⅰ</w:t>
            </w:r>
            <w:r>
              <w:br/>
            </w:r>
            <w:r>
              <w:rPr>
                <w:rFonts w:ascii="SimSun" w:hAnsi="SimSun"/>
                <w:b w:val="false"/>
                <w:i w:val="false"/>
                <w:color w:val="000000"/>
                <w:sz w:val="21"/>
              </w:rPr>
              <w:t>Tibetan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PHIL40009</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藏语Ⅱ</w:t>
            </w:r>
            <w:r>
              <w:br/>
            </w:r>
            <w:r>
              <w:rPr>
                <w:rFonts w:ascii="SimSun" w:hAnsi="SimSun"/>
                <w:b w:val="false"/>
                <w:i w:val="false"/>
                <w:color w:val="000000"/>
                <w:sz w:val="21"/>
              </w:rPr>
              <w:t>Tibetan II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巴利语Ⅰ</w:t>
            </w:r>
            <w:r>
              <w:br/>
            </w:r>
            <w:r>
              <w:rPr>
                <w:rFonts w:ascii="SimSun" w:hAnsi="SimSun"/>
                <w:b w:val="false"/>
                <w:i w:val="false"/>
                <w:color w:val="000000"/>
                <w:sz w:val="21"/>
              </w:rPr>
              <w:t>Pali I</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PHIL40011</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拉丁语与罗马宗教</w:t>
            </w:r>
            <w:r>
              <w:br/>
            </w:r>
            <w:r>
              <w:rPr>
                <w:rFonts w:ascii="SimSun" w:hAnsi="SimSun"/>
                <w:b w:val="false"/>
                <w:i w:val="false"/>
                <w:color w:val="000000"/>
                <w:sz w:val="21"/>
              </w:rPr>
              <w:t>Latin and Roman Religion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PHIL40013</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高阶拉丁语</w:t>
            </w:r>
            <w:r>
              <w:br/>
            </w:r>
            <w:r>
              <w:rPr>
                <w:rFonts w:ascii="SimSun" w:hAnsi="SimSun"/>
                <w:b w:val="false"/>
                <w:i w:val="false"/>
                <w:color w:val="000000"/>
                <w:sz w:val="21"/>
              </w:rPr>
              <w:t>Advanced Latin</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PHIL40014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梵语Ⅰ</w:t>
            </w:r>
            <w:r>
              <w:br/>
            </w:r>
            <w:r>
              <w:rPr>
                <w:rFonts w:ascii="SimSun" w:hAnsi="SimSun"/>
                <w:b w:val="false"/>
                <w:i w:val="false"/>
                <w:color w:val="000000"/>
                <w:sz w:val="21"/>
              </w:rPr>
              <w:t>Sanskrit Ⅰ</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GESF40004</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梵语Ⅱ</w:t>
            </w:r>
            <w:r>
              <w:br/>
            </w:r>
            <w:r>
              <w:rPr>
                <w:rFonts w:ascii="SimSun" w:hAnsi="SimSun"/>
                <w:b w:val="false"/>
                <w:i w:val="false"/>
                <w:color w:val="000000"/>
                <w:sz w:val="21"/>
              </w:rPr>
              <w:t>Sanskrit Ⅱ</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GESF40005</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梵语Ⅲ</w:t>
            </w:r>
            <w:r>
              <w:br/>
            </w:r>
            <w:r>
              <w:rPr>
                <w:rFonts w:ascii="SimSun" w:hAnsi="SimSun"/>
                <w:b w:val="false"/>
                <w:i w:val="false"/>
                <w:color w:val="000000"/>
                <w:sz w:val="21"/>
              </w:rPr>
              <w:t>Sanskrit Ⅲ</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GESF40006</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梵语Ⅳ</w:t>
            </w:r>
            <w:r>
              <w:br/>
            </w:r>
            <w:r>
              <w:rPr>
                <w:rFonts w:ascii="SimSun" w:hAnsi="SimSun"/>
                <w:b w:val="false"/>
                <w:i w:val="false"/>
                <w:color w:val="000000"/>
                <w:sz w:val="21"/>
              </w:rPr>
              <w:t>Sanskrit Ⅳ</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GESF40007</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 II</w:t>
            </w:r>
            <w:r>
              <w:br/>
            </w:r>
            <w:r>
              <w:rPr>
                <w:rFonts w:ascii="SimSun" w:hAnsi="SimSun"/>
                <w:b w:val="false"/>
                <w:i w:val="false"/>
                <w:color w:val="000000"/>
                <w:sz w:val="21"/>
              </w:rPr>
              <w:t>Reading and Writing Philosophically II</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PHIL50049</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6"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荣誉项目路径（34学分）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val="false"/>
          <w:i w:val="false"/>
          <w:color w:val="000000"/>
          <w:sz w:val="21"/>
        </w:rPr>
        <w:t xml:space="preserv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val="false"/>
          <w:i w:val="false"/>
          <w:color w:val="000000"/>
          <w:sz w:val="21"/>
        </w:rPr>
        <w:t xml:space="preserv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val="false"/>
          <w:i w:val="false"/>
          <w:color w:val="000000"/>
          <w:sz w:val="21"/>
        </w:rPr>
        <w:t xml:space="preserve">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