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2026哲学(科学哲学与逻辑学方向)(强基计划)本科培养方案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在二十一世纪重塑科学技术与社会关系的现实挑战面前，科学哲学与逻辑学方向将致力于发展以多学科、跨学科为特征的“哲学+科学”（“Philosophy plus Science”，如哲学+数学、哲学+物理、哲学+生物、哲学+人工智能、哲学+技术等）的整体研究计划。</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940"/>
        <w:gridCol w:w="840"/>
        <w:gridCol w:w="1922"/>
        <w:gridCol w:w="1923"/>
        <w:gridCol w:w="1680"/>
        <w:gridCol w:w="1040"/>
        <w:gridCol w:w="980"/>
        <w:gridCol w:w="2"/>
        <w:gridCol w:w="5"/>
        <w:gridCol w:w="1069"/>
        <w:gridCol w:w="1233"/>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c>
          <w:tcPr>
            <w:tcW w:w="1069" w:type="dxa"/>
            <w:tcBorders>
              <w:bottom w:val="single" w:color="000000" w:sz="8"/>
              <w:right w:val="single" w:color="000000" w:sz="8"/>
            </w:tcBorders>
            <w:tcMar>
              <w:top w:w="15" w:type="dxa"/>
              <w:left w:w="15" w:type="dxa"/>
              <w:bottom w:w="15" w:type="dxa"/>
              <w:right w:w="15" w:type="dxa"/>
            </w:tcMar>
            <w:vAlign w:val="center"/>
          </w:tcPr>
          <w:p/>
        </w:tc>
        <w:tc>
          <w:tcPr>
            <w:tcW w:w="1233"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9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0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9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0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哲学（科学哲学与逻辑学方向）</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63369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633696"/>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本科学位                                        </w:t>
      </w:r>
      <w:r>
        <w:br/>
      </w:r>
      <w:r>
        <w:rPr>
          <w:rFonts w:ascii="SimSun" w:hAnsi="SimSun"/>
          <w:b w:val="false"/>
          <w:i w:val="false"/>
          <w:color w:val="000000"/>
          <w:sz w:val="21"/>
        </w:rPr>
        <w:t xml:space="preserve"> 4年级结束时，如达到学士学位要求者授予哲学学士学位。                          </w:t>
      </w:r>
      <w:r>
        <w:br/>
      </w:r>
      <w:r>
        <w:rPr>
          <w:rFonts w:ascii="SimSun" w:hAnsi="SimSun"/>
          <w:b w:val="false"/>
          <w:i w:val="false"/>
          <w:color w:val="000000"/>
          <w:sz w:val="21"/>
        </w:rPr>
        <w:t xml:space="preserve">（1）修满规定的学分，达到本科教学培养方案规定的各项要求。                    </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 xml:space="preserve">（3）“强基计划”学生入校后按照“2+X+Y”培养方案中的“荣誉项目”路径修读各类课程。“强基计划”学生实行动态进出制，每学年根据学习成绩进行考核，不合格的学生将转出“强基计划”（详见《复旦大学哲学学院“强基计划”学生管理办法（试行）》）。“强基计划”学生在大一结束时，按照学生意愿可在哲学专业内部各方向进行分流，专业分流后按照各专业方向荣誉项目实施方案进行培养。“强基计划”同学经考核合格，可100%入选本学院“优秀大学生夏令营”，参加推荐免试攻读研究生选拔；满足相关要求的“强基计划”学生将按规定确保获得优先推荐；特别优秀的学生可进入直博生通道；“强基计划”学生可在大四学年修读本专业研究生基础课程，如在本校深造，则按照复旦大学研究生院规定计入研究生成绩。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1021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10211"/>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w:t>
            </w:r>
            <w:r>
              <w:br/>
            </w:r>
            <w:r>
              <w:rPr>
                <w:rFonts w:ascii="SimSun" w:hAnsi="SimSun"/>
                <w:b w:val="false"/>
                <w:i w:val="false"/>
                <w:color w:val="000000"/>
                <w:sz w:val="21"/>
              </w:rPr>
              <w:t>Probability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技术哲学</w:t>
            </w:r>
            <w:r>
              <w:br/>
            </w:r>
            <w:r>
              <w:rPr>
                <w:rFonts w:ascii="SimSun" w:hAnsi="SimSun"/>
                <w:b w:val="false"/>
                <w:i w:val="false"/>
                <w:color w:val="000000"/>
                <w:sz w:val="21"/>
              </w:rPr>
              <w:t>Philosophy of Technology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心灵哲学</w:t>
            </w:r>
            <w:r>
              <w:br/>
            </w:r>
            <w:r>
              <w:rPr>
                <w:rFonts w:ascii="SimSun" w:hAnsi="SimSun"/>
                <w:b w:val="false"/>
                <w:i w:val="false"/>
                <w:color w:val="000000"/>
                <w:sz w:val="21"/>
              </w:rPr>
              <w:t>Philosophy of Mind</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逻辑哲学</w:t>
            </w:r>
            <w:r>
              <w:br/>
            </w:r>
            <w:r>
              <w:rPr>
                <w:rFonts w:ascii="SimSun" w:hAnsi="SimSun"/>
                <w:b w:val="false"/>
                <w:i w:val="false"/>
                <w:color w:val="000000"/>
                <w:sz w:val="21"/>
              </w:rPr>
              <w:t>Philosophy of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人工智能哲学</w:t>
            </w:r>
            <w:r>
              <w:br/>
            </w:r>
            <w:r>
              <w:rPr>
                <w:rFonts w:ascii="SimSun" w:hAnsi="SimSun"/>
                <w:b w:val="false"/>
                <w:i w:val="false"/>
                <w:color w:val="000000"/>
                <w:sz w:val="21"/>
              </w:rPr>
              <w:t>Philosophy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科学、技术与社会（STS）</w:t>
            </w:r>
            <w:r>
              <w:br/>
            </w:r>
            <w:r>
              <w:rPr>
                <w:rFonts w:ascii="SimSun" w:hAnsi="SimSun"/>
                <w:b w:val="false"/>
                <w:i w:val="false"/>
                <w:color w:val="000000"/>
                <w:sz w:val="21"/>
              </w:rPr>
              <w:t>Science，Technology and Social(STS)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强基专业发展课程
      </w:t>
      </w:r>
    </w:p>
    <w:p>
      <w:pPr>
        <w:spacing w:after="0"/>
        <w:ind w:left="0"/>
        <w:jc w:val="left"/>
      </w:pPr>
      <w:r>
        <w:rPr>
          <w:rFonts w:ascii="SimSun" w:hAnsi="SimSun"/>
          <w:b w:val="false"/>
          <w:i w:val="false"/>
          <w:color w:val="000000"/>
          <w:sz w:val="21"/>
        </w:rPr>
        <w:t xml:space="preserve">
       按照“荣誉项目路径”修读各类课程，修满34学分。要求在"专业进阶课程I"课程中修读至少20学分，在"专业进阶课程II"课程中修读至少14学分（其中须选修1门专业外语，不限方向，限选1门）。同时修读荣誉课程的学分数不低于24学分，即在哲学学院开设的14门荣誉课程中至少修读6门。
       </w:t>
      </w:r>
      <w:r>
        <w:br/>
      </w:r>
      <w:r>
        <w:rPr>
          <w:rFonts w:ascii="SimSun" w:hAnsi="SimSun"/>
          <w:b w:val="false"/>
          <w:i w:val="false"/>
          <w:color w:val="000000"/>
          <w:sz w:val="21"/>
        </w:rPr>
        <w:t xml:space="preserve">荣誉课程的学分可按本院制订的课程替代方案进行学分转换与认定，但学分转换与认定只作为本科毕业资格审核的依据，成绩单则如实记载学生所修课程与成绩，不作变更。学生修读荣誉课程的学分如超过用于替换的《普通培养方案》中相应课程的学分可转换成任意选修学分，但成绩不作变更。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证明论</w:t>
            </w:r>
            <w:r>
              <w:br/>
            </w:r>
            <w:r>
              <w:rPr>
                <w:rFonts w:ascii="SimSun" w:hAnsi="SimSun"/>
                <w:b w:val="false"/>
                <w:i w:val="false"/>
                <w:color w:val="000000"/>
                <w:sz w:val="21"/>
              </w:rPr>
              <w:t>Proof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模态逻辑</w:t>
            </w:r>
            <w:r>
              <w:br/>
            </w:r>
            <w:r>
              <w:rPr>
                <w:rFonts w:ascii="SimSun" w:hAnsi="SimSun"/>
                <w:b w:val="false"/>
                <w:i w:val="false"/>
                <w:color w:val="000000"/>
                <w:sz w:val="21"/>
              </w:rPr>
              <w:t>Modal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逻辑史</w:t>
            </w:r>
            <w:r>
              <w:br/>
            </w:r>
            <w:r>
              <w:rPr>
                <w:rFonts w:ascii="SimSun" w:hAnsi="SimSun"/>
                <w:b w:val="false"/>
                <w:i w:val="false"/>
                <w:color w:val="000000"/>
                <w:sz w:val="21"/>
              </w:rPr>
              <w:t>History of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高等逻辑</w:t>
            </w:r>
            <w:r>
              <w:br/>
            </w:r>
            <w:r>
              <w:rPr>
                <w:rFonts w:ascii="SimSun" w:hAnsi="SimSun"/>
                <w:b w:val="false"/>
                <w:i w:val="false"/>
                <w:color w:val="000000"/>
                <w:sz w:val="21"/>
              </w:rPr>
              <w:t>Advanced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模型论导论</w:t>
            </w:r>
            <w:r>
              <w:br/>
            </w:r>
            <w:r>
              <w:rPr>
                <w:rFonts w:ascii="SimSun" w:hAnsi="SimSun"/>
                <w:b w:val="false"/>
                <w:i w:val="false"/>
                <w:color w:val="000000"/>
                <w:sz w:val="21"/>
              </w:rPr>
              <w:t>Introduction to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w:t>
            </w:r>
            <w:r>
              <w:br/>
            </w:r>
            <w:r>
              <w:rPr>
                <w:rFonts w:ascii="SimSun" w:hAnsi="SimSun"/>
                <w:b w:val="false"/>
                <w:i w:val="false"/>
                <w:color w:val="000000"/>
                <w:sz w:val="21"/>
              </w:rPr>
              <w:t>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w:t>
            </w:r>
            <w:r>
              <w:br/>
            </w:r>
            <w:r>
              <w:rPr>
                <w:rFonts w:ascii="SimSun" w:hAnsi="SimSun"/>
                <w:b w:val="false"/>
                <w:i w:val="false"/>
                <w:color w:val="000000"/>
                <w:sz w:val="21"/>
              </w:rPr>
              <w:t>Theory of Computability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数学分析原理</w:t>
            </w:r>
            <w:r>
              <w:br/>
            </w:r>
            <w:r>
              <w:rPr>
                <w:rFonts w:ascii="SimSun" w:hAnsi="SimSun"/>
                <w:b w:val="false"/>
                <w:i w:val="false"/>
                <w:color w:val="000000"/>
                <w:sz w:val="21"/>
              </w:rPr>
              <w:t>The Principle of Mathematical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非经典逻辑选讲</w:t>
            </w:r>
            <w:r>
              <w:br/>
            </w:r>
            <w:r>
              <w:rPr>
                <w:rFonts w:ascii="SimSun" w:hAnsi="SimSun"/>
                <w:b w:val="false"/>
                <w:i w:val="false"/>
                <w:color w:val="000000"/>
                <w:sz w:val="21"/>
              </w:rPr>
              <w:t>Topics in Non-Classical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模型论导论</w:t>
            </w:r>
            <w:r>
              <w:br/>
            </w:r>
            <w:r>
              <w:rPr>
                <w:rFonts w:ascii="SimSun" w:hAnsi="SimSun"/>
                <w:b w:val="false"/>
                <w:i w:val="false"/>
                <w:color w:val="000000"/>
                <w:sz w:val="21"/>
              </w:rPr>
              <w:t>An Introduction to Model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PHIL60051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数学哲学</w:t>
            </w:r>
            <w:r>
              <w:br/>
            </w:r>
            <w:r>
              <w:rPr>
                <w:rFonts w:ascii="SimSun" w:hAnsi="SimSun"/>
                <w:b w:val="false"/>
                <w:i w:val="false"/>
                <w:color w:val="000000"/>
                <w:sz w:val="21"/>
              </w:rPr>
              <w:t>Philosophy of Mathematics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弗雷格原著选读</w:t>
            </w:r>
            <w:r>
              <w:br/>
            </w:r>
            <w:r>
              <w:rPr>
                <w:rFonts w:ascii="SimSun" w:hAnsi="SimSun"/>
                <w:b w:val="false"/>
                <w:i w:val="false"/>
                <w:color w:val="000000"/>
                <w:sz w:val="21"/>
              </w:rPr>
              <w:t>Frege Selected Readings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心理学哲学</w:t>
            </w:r>
            <w:r>
              <w:br/>
            </w:r>
            <w:r>
              <w:rPr>
                <w:rFonts w:ascii="SimSun" w:hAnsi="SimSun"/>
                <w:b w:val="false"/>
                <w:i w:val="false"/>
                <w:color w:val="000000"/>
                <w:sz w:val="21"/>
              </w:rPr>
              <w:t>Philosophy of Psychology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生物学哲学</w:t>
            </w:r>
            <w:r>
              <w:br/>
            </w:r>
            <w:r>
              <w:rPr>
                <w:rFonts w:ascii="SimSun" w:hAnsi="SimSun"/>
                <w:b w:val="false"/>
                <w:i w:val="false"/>
                <w:color w:val="000000"/>
                <w:sz w:val="21"/>
              </w:rPr>
              <w:t>Philosophy of Biology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知觉哲学</w:t>
            </w:r>
            <w:r>
              <w:br/>
            </w:r>
            <w:r>
              <w:rPr>
                <w:rFonts w:ascii="SimSun" w:hAnsi="SimSun"/>
                <w:b w:val="false"/>
                <w:i w:val="false"/>
                <w:color w:val="000000"/>
                <w:sz w:val="21"/>
              </w:rPr>
              <w:t>The Philosophy of Perception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数学哲学</w:t>
            </w:r>
            <w:r>
              <w:br/>
            </w:r>
            <w:r>
              <w:rPr>
                <w:rFonts w:ascii="SimSun" w:hAnsi="SimSun"/>
                <w:b w:val="false"/>
                <w:i w:val="false"/>
                <w:color w:val="000000"/>
                <w:sz w:val="21"/>
              </w:rPr>
              <w:t>Philosophy of Mathematics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PHIL60052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科学思想史</w:t>
            </w:r>
            <w:r>
              <w:br/>
            </w:r>
            <w:r>
              <w:rPr>
                <w:rFonts w:ascii="SimSun" w:hAnsi="SimSun"/>
                <w:b w:val="false"/>
                <w:i w:val="false"/>
                <w:color w:val="000000"/>
                <w:sz w:val="21"/>
              </w:rPr>
              <w:t>History of Scientific Ideology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科学方法论</w:t>
            </w:r>
            <w:r>
              <w:br/>
            </w:r>
            <w:r>
              <w:rPr>
                <w:rFonts w:ascii="SimSun" w:hAnsi="SimSun"/>
                <w:b w:val="false"/>
                <w:i w:val="false"/>
                <w:color w:val="000000"/>
                <w:sz w:val="21"/>
              </w:rPr>
              <w:t>Scientific Methodology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生态哲学</w:t>
            </w:r>
            <w:r>
              <w:br/>
            </w:r>
            <w:r>
              <w:rPr>
                <w:rFonts w:ascii="SimSun" w:hAnsi="SimSun"/>
                <w:b w:val="false"/>
                <w:i w:val="false"/>
                <w:color w:val="000000"/>
                <w:sz w:val="21"/>
              </w:rPr>
              <w:t>Philosophy of Ecology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形式知识论</w:t>
            </w:r>
            <w:r>
              <w:br/>
            </w:r>
            <w:r>
              <w:rPr>
                <w:rFonts w:ascii="SimSun" w:hAnsi="SimSun"/>
                <w:b w:val="false"/>
                <w:i w:val="false"/>
                <w:color w:val="000000"/>
                <w:sz w:val="21"/>
              </w:rPr>
              <w:t>Formal 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