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文物与博物馆学系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2026考古学本科培养方案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文物与博物馆学系是国内创办时间最长、影响最大的文博教学与科研机构之一，是全国文物、博物馆专业学位研究生教育指导委员会秘书处单位，拥有40多年的学科发展史，并下设博物馆学、考古学、文化遗产（包括文物学、文物保护）三大方向。文物与博物馆学专业是国家级一流本科专业建设点，近年来，已形成了“考古发掘研究”“文化遗产保护管理”“博物馆阐释传播利用”的“三位一体”式发展格局。文物与博物馆学系拥有10多个教学与科研平台、1个国际级教席、1项国家级考古发掘资质，旗下的复旦大学科技考古研究院拥有近10个实验室，是学校双一流建设规划重点项目。</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按照“宽口径、厚基础、重能力、求创新”的人才培养要求，以“2+X+Y”（2是通识和专业教育，X是多元发展路径，Y为融合创新能力）为途径，培养适应社会主义现代化建设和科技发展，德智体美劳全面发展，既掌握考古学理论方法、断代考古常识、田野考古操作技能，又具备数学、物理、化学、生物以及AI、编程等理工科基础知识并能将其熟练应用于科技考古研究诸领域的新型考古学文理交叉人才。学生应具有良好的思想道德素质和科学的世界观，具有人文情怀，具备突出的科学素养与创新思维、开阔的国际视野和跨文化环境下的交流与合作能力，能够服务国家重大战略需求。</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 xml:space="preserve">    掌握马克思主义的基本原理和优良的外语听说读写能力；熟悉中国考古学的发展历程和研究现状，能够将考古学的基本理论方法融会贯通，具备从事田野考古发掘、资料整理与考古报告编写能力；掌握与考古学联系最为紧密的数学、物理、化学、生物学、AI、编程等理工科基础知识，了解国内外科技考古领域的理论前沿和发展动向；掌握文献检索、资料查询的基本方法和手段；初步具备从事考古学，尤其是科技考古及其交叉领域研究的能力和学术素养。</w:t>
      </w:r>
    </w:p>
    <w:p>
      <w:pPr>
        <w:spacing w:after="0"/>
        <w:ind w:left="0"/>
        <w:jc w:val="left"/>
      </w:pPr>
      <w:r>
        <w:drawing>
          <wp:inline distT="0" distB="0" distL="0" distR="0">
            <wp:extent cx="5732145" cy="2244024"/>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44024"/>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w:t>
      </w:r>
    </w:p>
    <w:p>
      <w:pPr>
        <w:spacing w:after="0"/>
        <w:ind w:left="0"/>
        <w:jc w:val="left"/>
      </w:pPr>
      <w:r>
        <w:rPr>
          <w:rFonts w:ascii="SimSun" w:hAnsi="SimSun"/>
          <w:b w:val="false"/>
          <w:i w:val="false"/>
          <w:color w:val="000000"/>
          <w:sz w:val="21"/>
        </w:rPr>
        <w:t>2. 学位授予说明：</w:t>
      </w:r>
    </w:p>
    <w:p>
      <w:pPr>
        <w:spacing w:after="0"/>
        <w:ind w:left="0"/>
        <w:jc w:val="left"/>
      </w:pPr>
      <w:r>
        <w:drawing>
          <wp:inline distT="0" distB="0" distL="0" distR="0">
            <wp:extent cx="5732145" cy="168226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682260"/>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29616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296162"/>
                    </a:xfrm>
                    <a:prstGeom prst="rect">
                      <a:avLst/>
                    </a:prstGeom>
                  </pic:spPr>
                </pic:pic>
              </a:graphicData>
            </a:graphic>
          </wp:inline>
        </w:drawing>
      </w:r>
    </w:p>
    <w:p>
      <w:pPr>
        <w:spacing w:after="0"/>
        <w:ind w:left="0"/>
        <w:jc w:val="left"/>
      </w:pPr>
    </w:p>
    <w:p>
      <w:pPr>
        <w:spacing w:after="0"/>
        <w:ind w:left="0"/>
        <w:jc w:val="left"/>
      </w:pPr>
      <w:r>
        <w:rPr>
          <w:rFonts w:ascii="SimSun" w:hAnsi="SimSun"/>
          <w:b w:val="false"/>
          <w:i w:val="false"/>
          <w:color w:val="000000"/>
          <w:sz w:val="21"/>
        </w:rPr>
        <w:t>1、 专业进阶路径：132学分</w:t>
      </w:r>
    </w:p>
    <w:p>
      <w:pPr>
        <w:spacing w:after="0"/>
        <w:ind w:left="0"/>
        <w:jc w:val="left"/>
      </w:pPr>
      <w:r>
        <w:rPr>
          <w:rFonts w:ascii="SimSun" w:hAnsi="SimSun"/>
          <w:b w:val="false"/>
          <w:i w:val="false"/>
          <w:color w:val="000000"/>
          <w:sz w:val="21"/>
        </w:rPr>
        <w:t xml:space="preserve">    需要完成132学分（含实践学分不低于20学分；含美育学分不少于2学分，其中至少在“美学和艺术史论类”或“艺术鉴赏和评论类”课程中修读1学分，并至少参与一项艺术实践活动；劳动教育不少于32学时，并满足劳动周教育要求）。包括通识教育课程41学分、专业培养课程65学分、专业进阶模块修读15学分、融合创新能力模块11学分。                                                                                                               </w:t>
      </w:r>
    </w:p>
    <w:p>
      <w:pPr>
        <w:spacing w:after="0"/>
        <w:ind w:left="0"/>
        <w:jc w:val="left"/>
      </w:pPr>
      <w:r>
        <w:rPr>
          <w:rFonts w:ascii="SimSun" w:hAnsi="SimSun"/>
          <w:b w:val="false"/>
          <w:i w:val="false"/>
          <w:color w:val="000000"/>
          <w:sz w:val="21"/>
        </w:rPr>
        <w:t xml:space="preserve">    留学生和港澳台侨学生的通识教育课程修读要求，以及留学生的水平测试要求，参见相应修读说明。</w:t>
      </w:r>
    </w:p>
    <w:p>
      <w:pPr>
        <w:spacing w:after="0"/>
        <w:ind w:left="0"/>
        <w:jc w:val="left"/>
      </w:pPr>
      <w:r>
        <w:rPr>
          <w:rFonts w:ascii="SimSun" w:hAnsi="SimSun"/>
          <w:b w:val="false"/>
          <w:i w:val="false"/>
          <w:color w:val="000000"/>
          <w:sz w:val="21"/>
        </w:rPr>
        <w:t>2、 荣誉项目</w:t>
      </w:r>
    </w:p>
    <w:p>
      <w:pPr>
        <w:spacing w:after="0"/>
        <w:ind w:left="0"/>
        <w:jc w:val="left"/>
      </w:pPr>
      <w:r>
        <w:rPr>
          <w:rFonts w:ascii="SimSun" w:hAnsi="SimSun"/>
          <w:b w:val="false"/>
          <w:i w:val="false"/>
          <w:color w:val="000000"/>
          <w:sz w:val="21"/>
        </w:rPr>
        <w:t xml:space="preserve">    荣誉项目课程设置和修读要求请见文物与博物馆学系“本科荣誉项目”实施方案。下载地址：https://jwc.fudan.edu.cn/（复旦大学教务处）专业培养-常用文档。</w:t>
      </w:r>
    </w:p>
    <w:p>
      <w:pPr>
        <w:spacing w:after="0"/>
        <w:ind w:left="0"/>
        <w:jc w:val="left"/>
      </w:pPr>
      <w:r>
        <w:rPr>
          <w:rFonts w:ascii="SimSun" w:hAnsi="SimSun"/>
          <w:b w:val="false"/>
          <w:i w:val="false"/>
          <w:color w:val="000000"/>
          <w:sz w:val="21"/>
        </w:rPr>
        <w:t>3、跨学科发展路径：132学分</w:t>
      </w:r>
    </w:p>
    <w:p>
      <w:pPr>
        <w:spacing w:after="0"/>
        <w:ind w:left="0"/>
        <w:jc w:val="left"/>
      </w:pPr>
      <w:r>
        <w:rPr>
          <w:rFonts w:ascii="SimSun" w:hAnsi="SimSun"/>
          <w:b w:val="false"/>
          <w:i w:val="false"/>
          <w:color w:val="000000"/>
          <w:sz w:val="21"/>
        </w:rPr>
        <w:t xml:space="preserve">    需要完成通识教育课程41学分、专业培养课程65学分、融合创新能力模块11学分，修读1个非本专业独立开设的微专业（学程）。</w:t>
      </w:r>
    </w:p>
    <w:p>
      <w:pPr>
        <w:spacing w:after="0"/>
        <w:ind w:left="0"/>
        <w:jc w:val="left"/>
      </w:pPr>
      <w:r>
        <w:rPr>
          <w:rFonts w:ascii="SimSun" w:hAnsi="SimSun"/>
          <w:b w:val="false"/>
          <w:i w:val="false"/>
          <w:color w:val="000000"/>
          <w:sz w:val="21"/>
        </w:rPr>
        <w:t>4、辅修学士学位路径：172学分</w:t>
      </w:r>
    </w:p>
    <w:p>
      <w:pPr>
        <w:spacing w:after="0"/>
        <w:ind w:left="0"/>
        <w:jc w:val="left"/>
      </w:pPr>
      <w:r>
        <w:rPr>
          <w:rFonts w:ascii="SimSun" w:hAnsi="SimSun"/>
          <w:b w:val="false"/>
          <w:i w:val="false"/>
          <w:color w:val="000000"/>
          <w:sz w:val="21"/>
        </w:rPr>
        <w:t xml:space="preserve">    需要完成通识教育课程41学分、专业培养课程65学分、专业进阶模块15学分、融合创新能力模块11学分，修读1个辅修学士学位项目，具体要求见教务处辅修学士学位项目网页。</w:t>
      </w:r>
    </w:p>
    <w:p>
      <w:pPr>
        <w:spacing w:after="0"/>
        <w:ind w:left="0"/>
        <w:jc w:val="left"/>
      </w:pPr>
      <w:r>
        <w:rPr>
          <w:rFonts w:ascii="SimSun" w:hAnsi="SimSun"/>
          <w:b w:val="false"/>
          <w:i w:val="false"/>
          <w:color w:val="000000"/>
          <w:sz w:val="21"/>
        </w:rPr>
        <w:t>5、创新创业路径：132学分</w:t>
      </w:r>
    </w:p>
    <w:p>
      <w:pPr>
        <w:spacing w:after="0"/>
        <w:ind w:left="0"/>
        <w:jc w:val="left"/>
      </w:pPr>
      <w:r>
        <w:rPr>
          <w:rFonts w:ascii="SimSun" w:hAnsi="SimSun"/>
          <w:b w:val="false"/>
          <w:i w:val="false"/>
          <w:color w:val="000000"/>
          <w:sz w:val="21"/>
        </w:rPr>
        <w:t xml:space="preserve">    需要完成通识教育课程41学分、专业培养课程65学分、融合创新能力模块11学分，修读1个创新创业学院开设的创新创业微专业（学程）。</w:t>
      </w:r>
    </w:p>
    <w:p>
      <w:pPr>
        <w:spacing w:after="0"/>
        <w:ind w:left="0"/>
        <w:jc w:val="left"/>
      </w:pP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4年级结束时，如达到学士学位要求者授予历史学学士学位。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（3）在此基础上，达到文博系“本科荣誉证书”获得条件的授予“本科荣誉证书”，具体要求请见文博系“荣誉项目”实施方案。</w:t>
      </w:r>
    </w:p>
    <w:p>
      <w:pPr>
        <w:spacing w:after="0"/>
        <w:ind w:left="0"/>
        <w:jc w:val="left"/>
      </w:pPr>
    </w:p>
    <w:p>
      <w:pPr>
        <w:spacing w:after="0"/>
        <w:ind w:left="0"/>
        <w:jc w:val="left"/>
      </w:pPr>
      <w:r>
        <w:rPr>
          <w:rFonts w:ascii="SimSun" w:hAnsi="SimSun"/>
          <w:b/>
          <w:i w:val="false"/>
          <w:color w:val="000000"/>
          <w:sz w:val="24"/>
        </w:rPr>
        <w:t xml:space="preserve">
       七.    课程体系与科研训练体系
      </w:t>
      </w:r>
    </w:p>
    <w:p>
      <w:pPr>
        <w:spacing w:after="0"/>
        <w:ind w:left="0"/>
        <w:jc w:val="left"/>
      </w:pPr>
      <w:r>
        <w:rPr>
          <w:rFonts w:ascii="SimSun" w:hAnsi="SimSun"/>
          <w:b w:val="false"/>
          <w:i w:val="false"/>
          <w:color w:val="000000"/>
          <w:sz w:val="21"/>
        </w:rPr>
        <w:t>1. 课程体系</w:t>
      </w:r>
    </w:p>
    <w:p>
      <w:pPr>
        <w:spacing w:after="0"/>
        <w:ind w:left="0"/>
        <w:jc w:val="left"/>
      </w:pPr>
      <w:r>
        <w:rPr>
          <w:rFonts w:ascii="SimSun" w:hAnsi="SimSun"/>
          <w:b w:val="false"/>
          <w:i w:val="false"/>
          <w:color w:val="000000"/>
          <w:sz w:val="21"/>
        </w:rPr>
        <w:t xml:space="preserve">    考古学学科基础课程与科技考古方向多学科方法并重的课程体系，以考古学课程与田野考古实践为基础，以科技考古各学科专业领域为横、课程内容梯度为纵建立了难度逐级提升的专业进阶课程体系。</w:t>
      </w:r>
    </w:p>
    <w:p>
      <w:pPr>
        <w:spacing w:after="0"/>
        <w:ind w:left="0"/>
        <w:jc w:val="left"/>
      </w:pPr>
      <w:r>
        <w:rPr>
          <w:rFonts w:ascii="SimSun" w:hAnsi="SimSun"/>
          <w:b w:val="false"/>
          <w:i w:val="false"/>
          <w:color w:val="000000"/>
          <w:sz w:val="21"/>
        </w:rPr>
        <w:t>2. 科研体系</w:t>
      </w:r>
    </w:p>
    <w:p>
      <w:pPr>
        <w:spacing w:after="0"/>
        <w:ind w:left="0"/>
        <w:jc w:val="left"/>
      </w:pPr>
      <w:r>
        <w:rPr>
          <w:rFonts w:ascii="SimSun" w:hAnsi="SimSun"/>
          <w:b w:val="false"/>
          <w:i w:val="false"/>
          <w:color w:val="000000"/>
          <w:sz w:val="21"/>
        </w:rPr>
        <w:t xml:space="preserve">    建立螺旋递进的全周期科研训练体系，给低年级本科生配备学业导师，鼓励师生共创，通过复芏计划（FDUROP）等项目引导学生在“做中学、学中悟、悟中创”。通过科技考古实验训练、田野考古提升训练、文物保护实验训练等，引导学生早参加科研课题，培育学术兴趣，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通识教育课程（41学分）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要求修读25学分，含思想政治理论课与创新课16学分，七大模块课程8学分（每模块最多修读1门课程），大学生国家安全教育1学分。
      </w:t>
      </w:r>
    </w:p>
    <w:p>
      <w:pPr>
        <w:spacing w:after="0"/>
        <w:ind w:left="0"/>
        <w:jc w:val="left"/>
      </w:pPr>
      <w:r>
        <w:rPr>
          <w:rFonts w:ascii="SimSun" w:hAnsi="SimSun"/>
          <w:b/>
          <w:i w:val="false"/>
          <w:color w:val="000000"/>
          <w:sz w:val="21"/>
        </w:rPr>
        <w:t xml:space="preserve">
       2.  通识教育专项教育课程（16学分）
      </w:t>
      </w:r>
    </w:p>
    <w:p>
      <w:pPr>
        <w:spacing w:after="0"/>
        <w:ind w:left="0"/>
        <w:jc w:val="left"/>
      </w:pPr>
      <w:r>
        <w:rPr>
          <w:rFonts w:ascii="SimSun" w:hAnsi="SimSun"/>
          <w:b w:val="false"/>
          <w:i w:val="false"/>
          <w:color w:val="000000"/>
          <w:sz w:val="21"/>
        </w:rPr>
        <w:t xml:space="preserve">
       要求修读16学分，课程设置详见专项教育课程（其中，人工智能教学专项修读B1类课程3学分）。
      </w:t>
      </w:r>
    </w:p>
    <w:p>
      <w:pPr>
        <w:spacing w:after="0"/>
        <w:ind w:left="0"/>
        <w:jc w:val="left"/>
      </w:pPr>
      <w:r>
        <w:rPr>
          <w:rFonts w:ascii="SimSun" w:hAnsi="SimSun"/>
          <w:b/>
          <w:i w:val="false"/>
          <w:color w:val="000000"/>
          <w:sz w:val="21"/>
        </w:rPr>
        <w:t xml:space="preserve">
       (二) 专业培养课程（65学分）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学科基础课程（18学分）
      </w:t>
      </w:r>
    </w:p>
    <w:p>
      <w:pPr>
        <w:spacing w:after="0"/>
        <w:ind w:left="0"/>
        <w:jc w:val="left"/>
      </w:pPr>
      <w:r>
        <w:rPr>
          <w:rFonts w:ascii="SimSun" w:hAnsi="SimSun"/>
          <w:b w:val="false"/>
          <w:i w:val="false"/>
          <w:color w:val="000000"/>
          <w:sz w:val="21"/>
        </w:rPr>
        <w:t xml:space="preserve">
       其中，必修课程为：“考古学导论” “中国古代文明”“大学数学I” “大学数学II”共11学分，选修至少7学分。
      </w:t>
      </w:r>
    </w:p>
    <w:tbl>
      <w:tblPr>
        <w:tblW w:w="0" w:type="auto"/>
        <w:tblCellSpacing w:w="0" w:type="auto"/>
        <w:tblBorders>
          <w:top w:val="none"/>
          <w:left w:val="none"/>
          <w:bottom w:val="none"/>
          <w:right w:val="none"/>
          <w:insideH w:val="none"/>
          <w:insideV w:val="none"/>
        </w:tblBorders>
      </w:tblPr>
      <w:tblGrid>
        <w:gridCol w:w="2034"/>
        <w:gridCol w:w="2713"/>
        <w:gridCol w:w="677"/>
        <w:gridCol w:w="680"/>
        <w:gridCol w:w="942"/>
        <w:gridCol w:w="1585"/>
        <w:gridCol w:w="678"/>
        <w:gridCol w:w="678"/>
        <w:gridCol w:w="678"/>
        <w:gridCol w:w="674"/>
        <w:gridCol w:w="944"/>
        <w:gridCol w:w="1351"/>
      </w:tblGrid>
      <w:tr>
        <w:trPr>
          <w:trHeight w:val="45" w:hRule="atLeast"/>
        </w:trPr>
        <w:tc>
          <w:tcPr>
            <w:tcW w:w="20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8"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8"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普通物理B</w:t>
            </w:r>
            <w:r>
              <w:br/>
            </w:r>
            <w:r>
              <w:rPr>
                <w:rFonts w:ascii="SimSun" w:hAnsi="SimSun"/>
                <w:b w:val="false"/>
                <w:i w:val="false"/>
                <w:color w:val="000000"/>
                <w:sz w:val="21"/>
              </w:rPr>
              <w:t>General Physics B</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PHYS10002</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普通化学C</w:t>
            </w:r>
            <w:r>
              <w:br/>
            </w:r>
            <w:r>
              <w:rPr>
                <w:rFonts w:ascii="SimSun" w:hAnsi="SimSun"/>
                <w:b w:val="false"/>
                <w:i w:val="false"/>
                <w:color w:val="000000"/>
                <w:sz w:val="21"/>
              </w:rPr>
              <w:t>General Chemistry C</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CHEM10008</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有机化学C</w:t>
            </w:r>
            <w:r>
              <w:br/>
            </w:r>
            <w:r>
              <w:rPr>
                <w:rFonts w:ascii="SimSun" w:hAnsi="SimSun"/>
                <w:b w:val="false"/>
                <w:i w:val="false"/>
                <w:color w:val="000000"/>
                <w:sz w:val="21"/>
              </w:rPr>
              <w:t>Organic Chemistry C</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CHEM10007</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现代生物科学导论C</w:t>
            </w:r>
            <w:r>
              <w:br/>
            </w:r>
            <w:r>
              <w:rPr>
                <w:rFonts w:ascii="SimSun" w:hAnsi="SimSun"/>
                <w:b w:val="false"/>
                <w:i w:val="false"/>
                <w:color w:val="000000"/>
                <w:sz w:val="21"/>
              </w:rPr>
              <w:t>Introduction to Modern Biological Science C</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BIOL10002</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中国文字源流</w:t>
            </w:r>
            <w:r>
              <w:br/>
            </w:r>
            <w:r>
              <w:rPr>
                <w:rFonts w:ascii="SimSun" w:hAnsi="SimSun"/>
                <w:b w:val="false"/>
                <w:i w:val="false"/>
                <w:color w:val="000000"/>
                <w:sz w:val="21"/>
              </w:rPr>
              <w:t>Historical Development of Chinese Writings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CULT10002</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4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专业核心教育课程（47学分）
      </w:t>
      </w:r>
    </w:p>
    <w:tbl>
      <w:tblPr>
        <w:tblW w:w="0" w:type="auto"/>
        <w:tblCellSpacing w:w="0" w:type="auto"/>
        <w:tblBorders>
          <w:top w:val="none"/>
          <w:left w:val="none"/>
          <w:bottom w:val="none"/>
          <w:right w:val="none"/>
          <w:insideH w:val="none"/>
          <w:insideV w:val="none"/>
        </w:tblBorders>
      </w:tblPr>
      <w:tblGrid>
        <w:gridCol w:w="2036"/>
        <w:gridCol w:w="2719"/>
        <w:gridCol w:w="680"/>
        <w:gridCol w:w="690"/>
        <w:gridCol w:w="947"/>
        <w:gridCol w:w="1538"/>
        <w:gridCol w:w="681"/>
        <w:gridCol w:w="680"/>
        <w:gridCol w:w="681"/>
        <w:gridCol w:w="678"/>
        <w:gridCol w:w="949"/>
        <w:gridCol w:w="1355"/>
      </w:tblGrid>
      <w:tr>
        <w:trPr>
          <w:trHeight w:val="45" w:hRule="atLeast"/>
        </w:trPr>
        <w:tc>
          <w:tcPr>
            <w:tcW w:w="20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6"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w:t>
            </w:r>
            <w:r>
              <w:br/>
            </w:r>
            <w:r>
              <w:rPr>
                <w:rFonts w:ascii="SimSun" w:hAnsi="SimSun"/>
                <w:b w:val="false"/>
                <w:i w:val="false"/>
                <w:color w:val="000000"/>
                <w:sz w:val="21"/>
              </w:rPr>
              <w:t>The History of Ancient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ARCH20013</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科技考古导论</w:t>
            </w:r>
            <w:r>
              <w:br/>
            </w:r>
            <w:r>
              <w:rPr>
                <w:rFonts w:ascii="SimSun" w:hAnsi="SimSun"/>
                <w:b w:val="false"/>
                <w:i w:val="false"/>
                <w:color w:val="000000"/>
                <w:sz w:val="21"/>
              </w:rPr>
              <w:t>Introduction to Archaeological Science and Technology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旧石器时代考古</w:t>
            </w:r>
            <w:r>
              <w:br/>
            </w:r>
            <w:r>
              <w:rPr>
                <w:rFonts w:ascii="SimSun" w:hAnsi="SimSun"/>
                <w:b w:val="false"/>
                <w:i w:val="false"/>
                <w:color w:val="000000"/>
                <w:sz w:val="21"/>
              </w:rPr>
              <w:t>Paleolithic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ARCH20006</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新石器时代考古</w:t>
            </w:r>
            <w:r>
              <w:br/>
            </w:r>
            <w:r>
              <w:rPr>
                <w:rFonts w:ascii="SimSun" w:hAnsi="SimSun"/>
                <w:b w:val="false"/>
                <w:i w:val="false"/>
                <w:color w:val="000000"/>
                <w:sz w:val="21"/>
              </w:rPr>
              <w:t>Neolithic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ARCH20007</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文物保护基础</w:t>
            </w:r>
            <w:r>
              <w:br/>
            </w:r>
            <w:r>
              <w:rPr>
                <w:rFonts w:ascii="SimSun" w:hAnsi="SimSun"/>
                <w:b w:val="false"/>
                <w:i w:val="false"/>
                <w:color w:val="000000"/>
                <w:sz w:val="21"/>
              </w:rPr>
              <w:t>Basics of Cultural Relic Conservation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CULT20001</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夏商周考古</w:t>
            </w:r>
            <w:r>
              <w:br/>
            </w:r>
            <w:r>
              <w:rPr>
                <w:rFonts w:ascii="SimSun" w:hAnsi="SimSun"/>
                <w:b w:val="false"/>
                <w:i w:val="false"/>
                <w:color w:val="000000"/>
                <w:sz w:val="21"/>
              </w:rPr>
              <w:t>Archaeology of Xia, Shang and Zhou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ARCH20005</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汉唐考古</w:t>
            </w:r>
            <w:r>
              <w:br/>
            </w:r>
            <w:r>
              <w:rPr>
                <w:rFonts w:ascii="SimSun" w:hAnsi="SimSun"/>
                <w:b w:val="false"/>
                <w:i w:val="false"/>
                <w:color w:val="000000"/>
                <w:sz w:val="21"/>
              </w:rPr>
              <w:t>Archaeology of Han and Tang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ARCH20002</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田野考古学</w:t>
            </w:r>
            <w:r>
              <w:br/>
            </w:r>
            <w:r>
              <w:rPr>
                <w:rFonts w:ascii="SimSun" w:hAnsi="SimSun"/>
                <w:b w:val="false"/>
                <w:i w:val="false"/>
                <w:color w:val="000000"/>
                <w:sz w:val="21"/>
              </w:rPr>
              <w:t>Field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ARCH20008</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中国历史地理概论</w:t>
            </w:r>
            <w:r>
              <w:br/>
            </w:r>
            <w:r>
              <w:rPr>
                <w:rFonts w:ascii="SimSun" w:hAnsi="SimSun"/>
                <w:b w:val="false"/>
                <w:i w:val="false"/>
                <w:color w:val="000000"/>
                <w:sz w:val="21"/>
              </w:rPr>
              <w:t>Historical Geography of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HIST30009</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宋元明考古</w:t>
            </w:r>
            <w:r>
              <w:br/>
            </w:r>
            <w:r>
              <w:rPr>
                <w:rFonts w:ascii="SimSun" w:hAnsi="SimSun"/>
                <w:b w:val="false"/>
                <w:i w:val="false"/>
                <w:color w:val="000000"/>
                <w:sz w:val="21"/>
              </w:rPr>
              <w:t>Archaeology of Song, Yuan and Ming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ARCH20004</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AI考古理论与实践</w:t>
            </w:r>
            <w:r>
              <w:br/>
            </w:r>
            <w:r>
              <w:rPr>
                <w:rFonts w:ascii="SimSun" w:hAnsi="SimSun"/>
                <w:b w:val="false"/>
                <w:i w:val="false"/>
                <w:color w:val="000000"/>
                <w:sz w:val="21"/>
              </w:rPr>
              <w:t>Theoretical and Practical Applications of AI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ARCH20003</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田野考古技术</w:t>
            </w:r>
            <w:r>
              <w:br/>
            </w:r>
            <w:r>
              <w:rPr>
                <w:rFonts w:ascii="SimSun" w:hAnsi="SimSun"/>
                <w:b w:val="false"/>
                <w:i w:val="false"/>
                <w:color w:val="000000"/>
                <w:sz w:val="21"/>
              </w:rPr>
              <w:t>Field Archaeological Skills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ARCH20017</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田野考古实践教学</w:t>
            </w:r>
            <w:r>
              <w:br/>
            </w:r>
            <w:r>
              <w:rPr>
                <w:rFonts w:ascii="SimSun" w:hAnsi="SimSun"/>
                <w:b w:val="false"/>
                <w:i w:val="false"/>
                <w:color w:val="000000"/>
                <w:sz w:val="21"/>
              </w:rPr>
              <w:t>Field Archaeology Practice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216.0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ARCH30002</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考古统计学</w:t>
            </w:r>
            <w:r>
              <w:br/>
            </w:r>
            <w:r>
              <w:rPr>
                <w:rFonts w:ascii="SimSun" w:hAnsi="SimSun"/>
                <w:b w:val="false"/>
                <w:i w:val="false"/>
                <w:color w:val="000000"/>
                <w:sz w:val="21"/>
              </w:rPr>
              <w:t>Archaeological Statistics</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ARCH30005</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4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包括专业进阶（含荣誉项目）、跨学科发展、辅修学士学位项目、创新创业等不同路径，要求在院系专业导师指导下选择1条发展路径，按路径要求修读课程。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专业进阶路径（15学分）
      </w:t>
      </w:r>
    </w:p>
    <w:p>
      <w:pPr>
        <w:spacing w:after="0"/>
        <w:ind w:left="0"/>
        <w:jc w:val="left"/>
      </w:pPr>
      <w:r>
        <w:rPr>
          <w:rFonts w:ascii="SimSun" w:hAnsi="SimSun"/>
          <w:b w:val="false"/>
          <w:i w:val="false"/>
          <w:color w:val="000000"/>
          <w:sz w:val="21"/>
        </w:rPr>
        <w:t xml:space="preserve">
       要求在专业进阶课程中修满15学分。
      </w:t>
      </w:r>
    </w:p>
    <w:p>
      <w:pPr>
        <w:spacing w:after="0"/>
        <w:ind w:left="0"/>
        <w:jc w:val="left"/>
      </w:pPr>
      <w:r>
        <w:rPr>
          <w:rFonts w:ascii="SimSun" w:hAnsi="SimSun"/>
          <w:b/>
          <w:i w:val="false"/>
          <w:color w:val="000000"/>
          <w:sz w:val="21"/>
        </w:rPr>
        <w:t xml:space="preserve">
       (1) 专业进阶模块（15学分）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考古学思想史</w:t>
            </w:r>
            <w:r>
              <w:br/>
            </w:r>
            <w:r>
              <w:rPr>
                <w:rFonts w:ascii="SimSun" w:hAnsi="SimSun"/>
                <w:b w:val="false"/>
                <w:i w:val="false"/>
                <w:color w:val="000000"/>
                <w:sz w:val="21"/>
              </w:rPr>
              <w:t>History of Archaeological Thought</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动物考古学</w:t>
            </w:r>
            <w:r>
              <w:br/>
            </w:r>
            <w:r>
              <w:rPr>
                <w:rFonts w:ascii="SimSun" w:hAnsi="SimSun"/>
                <w:b w:val="false"/>
                <w:i w:val="false"/>
                <w:color w:val="000000"/>
                <w:sz w:val="21"/>
              </w:rPr>
              <w:t>Zooarchaeology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植物考古学</w:t>
            </w:r>
            <w:r>
              <w:br/>
            </w:r>
            <w:r>
              <w:rPr>
                <w:rFonts w:ascii="SimSun" w:hAnsi="SimSun"/>
                <w:b w:val="false"/>
                <w:i w:val="false"/>
                <w:color w:val="000000"/>
                <w:sz w:val="21"/>
              </w:rPr>
              <w:t>Palaeoethnobotany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陶瓷考古</w:t>
            </w:r>
            <w:r>
              <w:br/>
            </w:r>
            <w:r>
              <w:rPr>
                <w:rFonts w:ascii="SimSun" w:hAnsi="SimSun"/>
                <w:b w:val="false"/>
                <w:i w:val="false"/>
                <w:color w:val="000000"/>
                <w:sz w:val="21"/>
              </w:rPr>
              <w:t>Ceramic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分子考古学</w:t>
            </w:r>
            <w:r>
              <w:br/>
            </w:r>
            <w:r>
              <w:rPr>
                <w:rFonts w:ascii="SimSun" w:hAnsi="SimSun"/>
                <w:b w:val="false"/>
                <w:i w:val="false"/>
                <w:color w:val="000000"/>
                <w:sz w:val="21"/>
              </w:rPr>
              <w:t>Molecular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体质人类学</w:t>
            </w:r>
            <w:r>
              <w:br/>
            </w:r>
            <w:r>
              <w:rPr>
                <w:rFonts w:ascii="SimSun" w:hAnsi="SimSun"/>
                <w:b w:val="false"/>
                <w:i w:val="false"/>
                <w:color w:val="000000"/>
                <w:sz w:val="21"/>
              </w:rPr>
              <w:t>Physical Anthropology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同位素考古</w:t>
            </w:r>
            <w:r>
              <w:br/>
            </w:r>
            <w:r>
              <w:rPr>
                <w:rFonts w:ascii="SimSun" w:hAnsi="SimSun"/>
                <w:b w:val="false"/>
                <w:i w:val="false"/>
                <w:color w:val="000000"/>
                <w:sz w:val="21"/>
              </w:rPr>
              <w:t>Isotope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农业考古</w:t>
            </w:r>
            <w:r>
              <w:br/>
            </w:r>
            <w:r>
              <w:rPr>
                <w:rFonts w:ascii="SimSun" w:hAnsi="SimSun"/>
                <w:b w:val="false"/>
                <w:i w:val="false"/>
                <w:color w:val="000000"/>
                <w:sz w:val="21"/>
              </w:rPr>
              <w:t>Agricultural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石窟寺考古</w:t>
            </w:r>
            <w:r>
              <w:br/>
            </w:r>
            <w:r>
              <w:rPr>
                <w:rFonts w:ascii="SimSun" w:hAnsi="SimSun"/>
                <w:b w:val="false"/>
                <w:i w:val="false"/>
                <w:color w:val="000000"/>
                <w:sz w:val="21"/>
              </w:rPr>
              <w:t>Grotto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世界考古概论</w:t>
            </w:r>
            <w:r>
              <w:br/>
            </w:r>
            <w:r>
              <w:rPr>
                <w:rFonts w:ascii="SimSun" w:hAnsi="SimSun"/>
                <w:b w:val="false"/>
                <w:i w:val="false"/>
                <w:color w:val="000000"/>
                <w:sz w:val="21"/>
              </w:rPr>
              <w:t>Introduction to World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公众考古</w:t>
            </w:r>
            <w:r>
              <w:br/>
            </w:r>
            <w:r>
              <w:rPr>
                <w:rFonts w:ascii="SimSun" w:hAnsi="SimSun"/>
                <w:b w:val="false"/>
                <w:i w:val="false"/>
                <w:color w:val="000000"/>
                <w:sz w:val="21"/>
              </w:rPr>
              <w:t>Public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冶金考古</w:t>
            </w:r>
            <w:r>
              <w:br/>
            </w:r>
            <w:r>
              <w:rPr>
                <w:rFonts w:ascii="SimSun" w:hAnsi="SimSun"/>
                <w:b w:val="false"/>
                <w:i w:val="false"/>
                <w:color w:val="000000"/>
                <w:sz w:val="21"/>
              </w:rPr>
              <w:t>Archaeometallurgy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环境考古学</w:t>
            </w:r>
            <w:r>
              <w:br/>
            </w:r>
            <w:r>
              <w:rPr>
                <w:rFonts w:ascii="SimSun" w:hAnsi="SimSun"/>
                <w:b w:val="false"/>
                <w:i w:val="false"/>
                <w:color w:val="000000"/>
                <w:sz w:val="21"/>
              </w:rPr>
              <w:t>Environmental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古人类学</w:t>
            </w:r>
            <w:r>
              <w:br/>
            </w:r>
            <w:r>
              <w:rPr>
                <w:rFonts w:ascii="SimSun" w:hAnsi="SimSun"/>
                <w:b w:val="false"/>
                <w:i w:val="false"/>
                <w:color w:val="000000"/>
                <w:sz w:val="21"/>
              </w:rPr>
              <w:t>Paleoanthropology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博物馆学概论</w:t>
            </w:r>
            <w:r>
              <w:br/>
            </w:r>
            <w:r>
              <w:rPr>
                <w:rFonts w:ascii="SimSun" w:hAnsi="SimSun"/>
                <w:b w:val="false"/>
                <w:i w:val="false"/>
                <w:color w:val="000000"/>
                <w:sz w:val="21"/>
              </w:rPr>
              <w:t>Introduction to Museology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文化遗产导论</w:t>
            </w:r>
            <w:r>
              <w:br/>
            </w:r>
            <w:r>
              <w:rPr>
                <w:rFonts w:ascii="SimSun" w:hAnsi="SimSun"/>
                <w:b w:val="false"/>
                <w:i w:val="false"/>
                <w:color w:val="000000"/>
                <w:sz w:val="21"/>
              </w:rPr>
              <w:t>Introduction to Cultural Heritage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文物研究导论</w:t>
            </w:r>
            <w:r>
              <w:br/>
            </w:r>
            <w:r>
              <w:rPr>
                <w:rFonts w:ascii="SimSun" w:hAnsi="SimSun"/>
                <w:b w:val="false"/>
                <w:i w:val="false"/>
                <w:color w:val="000000"/>
                <w:sz w:val="21"/>
              </w:rPr>
              <w:t>Introduction to the Study of Cultural Relics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中国古代建筑史</w:t>
            </w:r>
            <w:r>
              <w:br/>
            </w:r>
            <w:r>
              <w:rPr>
                <w:rFonts w:ascii="SimSun" w:hAnsi="SimSun"/>
                <w:b w:val="false"/>
                <w:i w:val="false"/>
                <w:color w:val="000000"/>
                <w:sz w:val="21"/>
              </w:rPr>
              <w:t>History of Architectural Development in Ancient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中国美术考古</w:t>
            </w:r>
            <w:r>
              <w:br/>
            </w:r>
            <w:r>
              <w:rPr>
                <w:rFonts w:ascii="SimSun" w:hAnsi="SimSun"/>
                <w:b w:val="false"/>
                <w:i w:val="false"/>
                <w:color w:val="000000"/>
                <w:sz w:val="21"/>
              </w:rPr>
              <w:t>Chinese Art and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中国科技史概论</w:t>
            </w:r>
            <w:r>
              <w:br/>
            </w:r>
            <w:r>
              <w:rPr>
                <w:rFonts w:ascii="SimSun" w:hAnsi="SimSun"/>
                <w:b w:val="false"/>
                <w:i w:val="false"/>
                <w:color w:val="000000"/>
                <w:sz w:val="21"/>
              </w:rPr>
              <w:t>Introduction to History of Science and Technology in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文物保护技术</w:t>
            </w:r>
            <w:r>
              <w:br/>
            </w:r>
            <w:r>
              <w:rPr>
                <w:rFonts w:ascii="SimSun" w:hAnsi="SimSun"/>
                <w:b w:val="false"/>
                <w:i w:val="false"/>
                <w:color w:val="000000"/>
                <w:sz w:val="21"/>
              </w:rPr>
              <w:t>Techniques of Cultural Relics Conservation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文物分析技术</w:t>
            </w:r>
            <w:r>
              <w:br/>
            </w:r>
            <w:r>
              <w:rPr>
                <w:rFonts w:ascii="SimSun" w:hAnsi="SimSun"/>
                <w:b w:val="false"/>
                <w:i w:val="false"/>
                <w:color w:val="000000"/>
                <w:sz w:val="21"/>
              </w:rPr>
              <w:t>Analyzing Techniques of Cultural Relics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人工智能的编程基础</w:t>
            </w:r>
            <w:r>
              <w:br/>
            </w:r>
            <w:r>
              <w:rPr>
                <w:rFonts w:ascii="SimSun" w:hAnsi="SimSun"/>
                <w:b w:val="false"/>
                <w:i w:val="false"/>
                <w:color w:val="000000"/>
                <w:sz w:val="21"/>
              </w:rPr>
              <w:t>Fundamentals of Artificial Intelligence Programming</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and Machine Learning</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AIE310004</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在专业进阶路径基础上，荣誉项目课程设置和修读要求请见文物与博物馆学系本科“荣誉项目”实施方案。下载地址：https://jwc.fudan.edu.cn/（复旦大学教务处）专业培养-常用文档。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跨学科发展路径（15学分）
      </w:t>
      </w:r>
    </w:p>
    <w:p>
      <w:pPr>
        <w:spacing w:after="0"/>
        <w:ind w:left="0"/>
        <w:jc w:val="left"/>
      </w:pPr>
      <w:r>
        <w:rPr>
          <w:rFonts w:ascii="SimSun" w:hAnsi="SimSun"/>
          <w:b w:val="false"/>
          <w:i w:val="false"/>
          <w:color w:val="000000"/>
          <w:sz w:val="21"/>
        </w:rPr>
        <w:t xml:space="preserve">
       修满15学分，要求修读1个非本专业独立开设的微专业（学程）。微专业（学程）课程详见教务处微专业项目网页。                                                                                                                                      
      </w:t>
      </w:r>
    </w:p>
    <w:p>
      <w:pPr>
        <w:spacing w:after="0"/>
        <w:ind w:left="0"/>
        <w:jc w:val="left"/>
      </w:pPr>
      <w:r>
        <w:rPr>
          <w:rFonts w:ascii="SimSun" w:hAnsi="SimSun"/>
          <w:b/>
          <w:i w:val="false"/>
          <w:color w:val="000000"/>
          <w:sz w:val="21"/>
        </w:rPr>
        <w:t xml:space="preserve">
       4.  创新创业路径（15学分）
      </w:t>
      </w:r>
    </w:p>
    <w:p>
      <w:pPr>
        <w:spacing w:after="0"/>
        <w:ind w:left="0"/>
        <w:jc w:val="left"/>
      </w:pPr>
      <w:r>
        <w:rPr>
          <w:rFonts w:ascii="SimSun" w:hAnsi="SimSun"/>
          <w:b w:val="false"/>
          <w:i w:val="false"/>
          <w:color w:val="000000"/>
          <w:sz w:val="21"/>
        </w:rPr>
        <w:t xml:space="preserve">
       修满15学分，要求修读1个创新创业学院开设的创新创业微专业（学程）。创新创业微专业（学程）课程详见教务处微专业项目网页。  
      </w:t>
      </w:r>
    </w:p>
    <w:p>
      <w:pPr>
        <w:spacing w:after="0"/>
        <w:ind w:left="0"/>
        <w:jc w:val="left"/>
      </w:pPr>
      <w:r>
        <w:rPr>
          <w:rFonts w:ascii="SimSun" w:hAnsi="SimSun"/>
          <w:b/>
          <w:i w:val="false"/>
          <w:color w:val="000000"/>
          <w:sz w:val="21"/>
        </w:rPr>
        <w:t xml:space="preserve">
       5.  辅修学士学位路径（55学分）
      </w:t>
      </w:r>
    </w:p>
    <w:p>
      <w:pPr>
        <w:spacing w:after="0"/>
        <w:ind w:left="0"/>
        <w:jc w:val="left"/>
      </w:pPr>
      <w:r>
        <w:rPr>
          <w:rFonts w:ascii="SimSun" w:hAnsi="SimSun"/>
          <w:b w:val="false"/>
          <w:i w:val="false"/>
          <w:color w:val="000000"/>
          <w:sz w:val="21"/>
        </w:rPr>
        <w:t xml:space="preserve">
       要求修读本专业进阶课程15学分和1个辅修学士学位项目，辅修学士学位应与主修学士学位归属不同的本科专业大类。辅修学士学位项目课程设置详见教务处辅修学士学位项目网页。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专业培养和多元发展路径共享的课程只计算一次学分。
      </w:t>
      </w:r>
    </w:p>
    <w:p>
      <w:pPr>
        <w:spacing w:after="0"/>
        <w:ind w:left="0"/>
        <w:jc w:val="left"/>
      </w:pPr>
      <w:r>
        <w:rPr>
          <w:rFonts w:ascii="SimSun" w:hAnsi="SimSun"/>
          <w:b/>
          <w:i w:val="false"/>
          <w:color w:val="000000"/>
          <w:sz w:val="21"/>
        </w:rPr>
        <w:t xml:space="preserve">
       (四) 融合创新能力（11学分）
      </w:t>
      </w:r>
    </w:p>
    <w:p>
      <w:pPr>
        <w:spacing w:after="0"/>
        <w:ind w:left="0"/>
        <w:jc w:val="left"/>
      </w:pPr>
      <w:r>
        <w:rPr>
          <w:rFonts w:ascii="SimSun" w:hAnsi="SimSun"/>
          <w:b w:val="false"/>
          <w:i w:val="false"/>
          <w:color w:val="000000"/>
          <w:sz w:val="21"/>
        </w:rPr>
        <w:t xml:space="preserve">
       需完成至少11学分（必修7学分，选修4学分）。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前沿讲座</w:t>
            </w:r>
            <w:r>
              <w:br/>
            </w:r>
            <w:r>
              <w:rPr>
                <w:rFonts w:ascii="SimSun" w:hAnsi="SimSun"/>
                <w:b w:val="false"/>
                <w:i w:val="false"/>
                <w:color w:val="000000"/>
                <w:sz w:val="21"/>
              </w:rPr>
              <w:t>Frontier Lectures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不少于10场，需提交学习报告。</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w:t>
            </w:r>
            <w:r>
              <w:br/>
            </w:r>
            <w:r>
              <w:rPr>
                <w:rFonts w:ascii="SimSun" w:hAnsi="SimSun"/>
                <w:b w:val="false"/>
                <w:i w:val="false"/>
                <w:color w:val="000000"/>
                <w:sz w:val="21"/>
              </w:rPr>
              <w:t>Research Practice 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同位素考古实验训练（根据实际由教师招募）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w:t>
            </w:r>
            <w:r>
              <w:br/>
            </w:r>
            <w:r>
              <w:rPr>
                <w:rFonts w:ascii="SimSun" w:hAnsi="SimSun"/>
                <w:b w:val="false"/>
                <w:i w:val="false"/>
                <w:color w:val="000000"/>
                <w:sz w:val="21"/>
              </w:rPr>
              <w:t>Research Practice 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人骨考古实验训练（根据实际由教师招募）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科研实践III</w:t>
            </w:r>
            <w:r>
              <w:br/>
            </w:r>
            <w:r>
              <w:rPr>
                <w:rFonts w:ascii="SimSun" w:hAnsi="SimSun"/>
                <w:b w:val="false"/>
                <w:i w:val="false"/>
                <w:color w:val="000000"/>
                <w:sz w:val="21"/>
              </w:rPr>
              <w:t>Research Practice III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动物考古实验训练（根据实际由教师招募）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科研实践Ⅳ</w:t>
            </w:r>
            <w:r>
              <w:br/>
            </w:r>
            <w:r>
              <w:rPr>
                <w:rFonts w:ascii="SimSun" w:hAnsi="SimSun"/>
                <w:b w:val="false"/>
                <w:i w:val="false"/>
                <w:color w:val="000000"/>
                <w:sz w:val="21"/>
              </w:rPr>
              <w:t>Research Practice IV</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植物考古实验训练（根据实际由教师招募）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科研实践Ⅴ</w:t>
            </w:r>
            <w:r>
              <w:br/>
            </w:r>
            <w:r>
              <w:rPr>
                <w:rFonts w:ascii="SimSun" w:hAnsi="SimSun"/>
                <w:b w:val="false"/>
                <w:i w:val="false"/>
                <w:color w:val="000000"/>
                <w:sz w:val="21"/>
              </w:rPr>
              <w:t>Research Practice V</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环境考古实验训练（根据实际由教师招募）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科研实践Ⅵ</w:t>
            </w:r>
            <w:r>
              <w:br/>
            </w:r>
            <w:r>
              <w:rPr>
                <w:rFonts w:ascii="SimSun" w:hAnsi="SimSun"/>
                <w:b w:val="false"/>
                <w:i w:val="false"/>
                <w:color w:val="000000"/>
                <w:sz w:val="21"/>
              </w:rPr>
              <w:t>Research Practice VI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文物保护实验训练（根据实际由教师招募）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科研实践Ⅶ</w:t>
            </w:r>
            <w:r>
              <w:br/>
            </w:r>
            <w:r>
              <w:rPr>
                <w:rFonts w:ascii="SimSun" w:hAnsi="SimSun"/>
                <w:b w:val="false"/>
                <w:i w:val="false"/>
                <w:color w:val="000000"/>
                <w:sz w:val="21"/>
              </w:rPr>
              <w:t>Research Practice VII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田野考古提升训练（根据实际由教师招募）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鼓励学生承担复芏计划（FDUROP）项目，详见复旦大学本科生学术研究资助计划管理办法。</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纸质文物修复</w:t>
            </w:r>
            <w:r>
              <w:br/>
            </w:r>
            <w:r>
              <w:rPr>
                <w:rFonts w:ascii="SimSun" w:hAnsi="SimSun"/>
                <w:b w:val="false"/>
                <w:i w:val="false"/>
                <w:color w:val="000000"/>
                <w:sz w:val="21"/>
              </w:rPr>
              <w:t>Restoration of Paper</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古陶瓷修复</w:t>
            </w:r>
            <w:r>
              <w:br/>
            </w:r>
            <w:r>
              <w:rPr>
                <w:rFonts w:ascii="SimSun" w:hAnsi="SimSun"/>
                <w:b w:val="false"/>
                <w:i w:val="false"/>
                <w:color w:val="000000"/>
                <w:sz w:val="21"/>
              </w:rPr>
              <w:t>Restoration of Ancient Ceramics</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CULT30014</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jpe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