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文物与博物馆学系</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2026文物与博物馆学本科培养方案（港澳台生适用）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文物与博物馆学系是国内创办时间最长、影响最大的文博教学与科研机构之一，是全国文物、博物馆专业学位研究生教育指导委员会秘书处单位，拥有40多年的学科发展史，并下设博物馆学、考古学、文化遗产（包括文物学、文物保护）三大方向。文物与博物馆学专业是国家级一流本科专业建设点，近年来，已形成了“考古发掘研究”“文化遗产保护管理”“博物馆阐释传播利用”的“三位一体”式发展格局。文物与博物馆学系拥有10多个教学与科研平台、1个国际级教席、1项国家级考古发掘资质，旗下的复旦大学科技考古研究院拥有近10个实验室，是学校双一流建设规划重点项目。</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按照“宽口径、厚基础、重能力、求创新”的人才培养要求，以“2+X+Y”（2是通识和专业教育，X是多元发展路径，Y为融合创新能力）为途径，培养德智体美劳全面发展、具备理论和实践双重能力的创新复合型文博人才。学生应具有良好的思想道德素质和科学的世界观，具有人文情怀，具备突出的科学素养与创新思维、开阔的国际视野和跨文化环境下的交流与合作能力，能够服务国家重大战略需求。</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 xml:space="preserve">    要求学生努力学习马克思主义的基本理论和基本观点，学习文物学、博物馆学的基本理论和基础知识，受到历史、艺术、文化和科技等综合知识的基本训练。学生必须掌握文物学和博物馆学的基本理论和基本知识；掌握我国主要文物种类和重要文物实例；较熟练地掌握一门外语；具有对人类文化遗产、自然遗产进行管理的能力，熟知博物馆的基本职能和全面的操作管理要求；了解文物修缮、保管的传统方法和现代科技知识；掌握文献检索、资料查询的基本方法和手段。</w:t>
      </w:r>
    </w:p>
    <w:p>
      <w:pPr>
        <w:spacing w:after="0"/>
        <w:ind w:left="0"/>
        <w:jc w:val="left"/>
      </w:pPr>
    </w:p>
    <w:p>
      <w:pPr>
        <w:spacing w:after="0"/>
        <w:ind w:left="0"/>
        <w:jc w:val="left"/>
      </w:pPr>
      <w:r>
        <w:drawing>
          <wp:inline distT="0" distB="0" distL="0" distR="0">
            <wp:extent cx="5732145" cy="206217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062171"/>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1.修业年限：4年（类型：本科）</w:t>
      </w:r>
    </w:p>
    <w:p>
      <w:pPr>
        <w:spacing w:after="0"/>
        <w:ind w:left="0"/>
        <w:jc w:val="left"/>
      </w:pPr>
      <w:r>
        <w:rPr>
          <w:rFonts w:ascii="SimSun" w:hAnsi="SimSun"/>
          <w:b w:val="false"/>
          <w:i w:val="false"/>
          <w:color w:val="000000"/>
          <w:sz w:val="21"/>
        </w:rPr>
        <w:t>2.学位授予说明：</w:t>
      </w:r>
    </w:p>
    <w:p>
      <w:pPr>
        <w:spacing w:after="0"/>
        <w:ind w:left="0"/>
        <w:jc w:val="left"/>
      </w:pPr>
      <w:r>
        <w:drawing>
          <wp:inline distT="0" distB="0" distL="0" distR="0">
            <wp:extent cx="5732145" cy="154979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549798"/>
                    </a:xfrm>
                    <a:prstGeom prst="rect">
                      <a:avLst/>
                    </a:prstGeom>
                  </pic:spPr>
                </pic:pic>
              </a:graphicData>
            </a:graphic>
          </wp:inline>
        </w:drawing>
      </w:r>
    </w:p>
    <w:p>
      <w:pPr>
        <w:spacing w:after="0"/>
        <w:ind w:left="0"/>
        <w:jc w:val="left"/>
      </w:pP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226396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263961"/>
                    </a:xfrm>
                    <a:prstGeom prst="rect">
                      <a:avLst/>
                    </a:prstGeom>
                  </pic:spPr>
                </pic:pic>
              </a:graphicData>
            </a:graphic>
          </wp:inline>
        </w:drawing>
      </w:r>
    </w:p>
    <w:p>
      <w:pPr>
        <w:spacing w:after="0"/>
        <w:ind w:left="0"/>
        <w:jc w:val="left"/>
      </w:pPr>
      <w:r>
        <w:rPr>
          <w:rFonts w:ascii="SimSun" w:hAnsi="SimSun"/>
          <w:b w:val="false"/>
          <w:i w:val="false"/>
          <w:color w:val="000000"/>
          <w:sz w:val="21"/>
        </w:rPr>
        <w:t xml:space="preserve">    学生毕业时须满足通识教育课程（含通识教育核心课程和专项教育课程）42学分、专业培养课程40学分、融合创新能力模块17学分和多元发展路径课程的修读要求，总学分不低于129学分（含实践学分不低于20学分；含美育学分不少于2学分，其中至少在“美学和艺术史论类”或“艺术鉴赏和评论类”课程中修读1学分，并至少参与一项艺术实践活动；劳动教育不少于32学时，并满足劳动周教育要求）。</w:t>
      </w:r>
    </w:p>
    <w:p>
      <w:pPr>
        <w:spacing w:after="0"/>
        <w:ind w:left="0"/>
        <w:jc w:val="left"/>
      </w:pPr>
      <w:r>
        <w:rPr>
          <w:rFonts w:ascii="SimSun" w:hAnsi="SimSun"/>
          <w:b w:val="false"/>
          <w:i w:val="false"/>
          <w:color w:val="000000"/>
          <w:sz w:val="21"/>
        </w:rPr>
        <w:t xml:space="preserve">   其中，港澳台生需满足通识教育课程16学分的要求，总学分不低于103学分。</w:t>
      </w:r>
    </w:p>
    <w:p>
      <w:pPr>
        <w:spacing w:after="0"/>
        <w:ind w:left="0"/>
        <w:jc w:val="left"/>
      </w:pPr>
      <w:r>
        <w:rPr>
          <w:rFonts w:ascii="SimSun" w:hAnsi="SimSun"/>
          <w:b w:val="false"/>
          <w:i w:val="false"/>
          <w:color w:val="000000"/>
          <w:sz w:val="21"/>
        </w:rPr>
        <w:t xml:space="preserve">    留学生和港澳台侨学生的通识教育课程修读要求，以及留学生的水平测试要求，参见相应修读说明。</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4年级结束时，如达到学士学位要求者授予历史学学士学位。</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（3）在此基础上，达到文博系“本科荣誉证书”获得条件的授予“本科荣誉证书”，具体要求请见文博系“荣誉项目”实施方案。</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rPr>
          <w:rFonts w:ascii="SimSun" w:hAnsi="SimSun"/>
          <w:b w:val="false"/>
          <w:i w:val="false"/>
          <w:color w:val="000000"/>
          <w:sz w:val="21"/>
        </w:rPr>
        <w:t>1.课程体系</w:t>
      </w:r>
    </w:p>
    <w:p>
      <w:pPr>
        <w:spacing w:after="0"/>
        <w:ind w:left="0"/>
        <w:jc w:val="left"/>
      </w:pPr>
      <w:r>
        <w:rPr>
          <w:rFonts w:ascii="SimSun" w:hAnsi="SimSun"/>
          <w:b w:val="false"/>
          <w:i w:val="false"/>
          <w:color w:val="000000"/>
          <w:sz w:val="21"/>
        </w:rPr>
        <w:t xml:space="preserve">    文博专业课程与多学科方法并重的课程体系，以博物馆学、文化遗产（包括文物学、文物保护）、考古学各方向的基础课程构成专业核心课程体系，以各学科专业领域为横、课程内容梯度为纵建立了难度逐级提升的专业进阶课程体系。</w:t>
      </w:r>
    </w:p>
    <w:p>
      <w:pPr>
        <w:spacing w:after="0"/>
        <w:ind w:left="0"/>
        <w:jc w:val="left"/>
      </w:pPr>
      <w:r>
        <w:rPr>
          <w:rFonts w:ascii="SimSun" w:hAnsi="SimSun"/>
          <w:b w:val="false"/>
          <w:i w:val="false"/>
          <w:color w:val="000000"/>
          <w:sz w:val="21"/>
        </w:rPr>
        <w:t>2.科研体系</w:t>
      </w:r>
    </w:p>
    <w:p>
      <w:pPr>
        <w:spacing w:after="0"/>
        <w:ind w:left="0"/>
        <w:jc w:val="left"/>
      </w:pPr>
      <w:r>
        <w:rPr>
          <w:rFonts w:ascii="SimSun" w:hAnsi="SimSun"/>
          <w:b w:val="false"/>
          <w:i w:val="false"/>
          <w:color w:val="000000"/>
          <w:sz w:val="21"/>
        </w:rPr>
        <w:t xml:space="preserve">    建立螺旋递进的全周期科研训练体系，给低年级本科生配备学业导师，鼓励师生共创，通过复芏计划（FDUROP）等项目引导学生在“做中学、学中悟、悟中创”。通过文博各方向科研实践实训，引导学生早参加课题，培育学术兴趣，激发创新志趣。</w:t>
      </w:r>
    </w:p>
    <w:p>
      <w:pPr>
        <w:spacing w:after="0"/>
        <w:ind w:left="0"/>
        <w:jc w:val="left"/>
      </w:pP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通识教育课程（16学分）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通识教育核心课程（10学分）
      </w:t>
      </w:r>
    </w:p>
    <w:p>
      <w:pPr>
        <w:spacing w:after="0"/>
        <w:ind w:left="0"/>
        <w:jc w:val="left"/>
      </w:pPr>
      <w:r>
        <w:rPr>
          <w:rFonts w:ascii="SimSun" w:hAnsi="SimSun"/>
          <w:b w:val="false"/>
          <w:i w:val="false"/>
          <w:color w:val="000000"/>
          <w:sz w:val="21"/>
        </w:rPr>
        <w:t xml:space="preserve">
       （港澳台生修读）七大模块课程10学分（每模块最多修读1门课程）。
      </w:t>
      </w:r>
    </w:p>
    <w:p>
      <w:pPr>
        <w:spacing w:after="0"/>
        <w:ind w:left="0"/>
        <w:jc w:val="left"/>
      </w:pPr>
      <w:r>
        <w:rPr>
          <w:rFonts w:ascii="SimSun" w:hAnsi="SimSun"/>
          <w:b/>
          <w:i w:val="false"/>
          <w:color w:val="000000"/>
          <w:sz w:val="21"/>
        </w:rPr>
        <w:t xml:space="preserve">
       2.  通识教育专项教育课程（6学分）
      </w:t>
      </w:r>
    </w:p>
    <w:p>
      <w:pPr>
        <w:spacing w:after="0"/>
        <w:ind w:left="0"/>
        <w:jc w:val="left"/>
      </w:pPr>
      <w:r>
        <w:rPr>
          <w:rFonts w:ascii="SimSun" w:hAnsi="SimSun"/>
          <w:b w:val="false"/>
          <w:i w:val="false"/>
          <w:color w:val="000000"/>
          <w:sz w:val="21"/>
        </w:rPr>
        <w:t xml:space="preserve">
       （港澳台生）要求修读6学分， 课程设置详见专项教育课程。
      </w:t>
      </w:r>
    </w:p>
    <w:p>
      <w:pPr>
        <w:spacing w:after="0"/>
        <w:ind w:left="0"/>
        <w:jc w:val="left"/>
      </w:pPr>
      <w:r>
        <w:rPr>
          <w:rFonts w:ascii="SimSun" w:hAnsi="SimSun"/>
          <w:b/>
          <w:i w:val="false"/>
          <w:color w:val="000000"/>
          <w:sz w:val="21"/>
        </w:rPr>
        <w:t xml:space="preserve">
       (二) 专业培养课程（40学分）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学科基础课程（15学分）
      </w:t>
      </w:r>
    </w:p>
    <w:p>
      <w:pPr>
        <w:spacing w:after="0"/>
        <w:ind w:left="0"/>
        <w:jc w:val="left"/>
      </w:pPr>
      <w:r>
        <w:rPr>
          <w:rFonts w:ascii="SimSun" w:hAnsi="SimSun"/>
          <w:b w:val="false"/>
          <w:i w:val="false"/>
          <w:color w:val="000000"/>
          <w:sz w:val="21"/>
        </w:rPr>
        <w:t xml:space="preserve">
       要求修读15学分。基础理论课程（跨院系必修）修满9学分，课程为“中国文学经典”、“中国古代文明”、“哲学导论”、“逻辑学”（其中“哲学导论”、“逻辑学”二选一）。基础理论课程（跨院系选修）中需必修“考古学导论”2学分。需至少修读1门其他院系开设的基础理论课程（跨院系选修）。课程设置详见学科基础课程（人文基础）。
      </w:t>
      </w:r>
    </w:p>
    <w:p>
      <w:pPr>
        <w:spacing w:after="0"/>
        <w:ind w:left="0"/>
        <w:jc w:val="left"/>
      </w:pPr>
      <w:r>
        <w:rPr>
          <w:rFonts w:ascii="SimSun" w:hAnsi="SimSun"/>
          <w:b/>
          <w:i w:val="false"/>
          <w:color w:val="000000"/>
          <w:sz w:val="21"/>
        </w:rPr>
        <w:t xml:space="preserve">
       2.  专业核心教育课程（25学分）
      </w:t>
      </w:r>
    </w:p>
    <w:tbl>
      <w:tblPr>
        <w:tblW w:w="0" w:type="auto"/>
        <w:tblCellSpacing w:w="0" w:type="auto"/>
        <w:tblBorders>
          <w:top w:val="none"/>
          <w:left w:val="none"/>
          <w:bottom w:val="none"/>
          <w:right w:val="none"/>
          <w:insideH w:val="none"/>
          <w:insideV w:val="none"/>
        </w:tblBorders>
      </w:tblPr>
      <w:tblGrid>
        <w:gridCol w:w="3205"/>
        <w:gridCol w:w="800"/>
        <w:gridCol w:w="800"/>
        <w:gridCol w:w="1122"/>
        <w:gridCol w:w="1778"/>
        <w:gridCol w:w="801"/>
        <w:gridCol w:w="801"/>
        <w:gridCol w:w="801"/>
        <w:gridCol w:w="801"/>
        <w:gridCol w:w="1122"/>
        <w:gridCol w:w="1603"/>
      </w:tblGrid>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中国古代史</w:t>
            </w:r>
            <w:r>
              <w:br/>
            </w:r>
            <w:r>
              <w:rPr>
                <w:rFonts w:ascii="SimSun" w:hAnsi="SimSun"/>
                <w:b w:val="false"/>
                <w:i w:val="false"/>
                <w:color w:val="000000"/>
                <w:sz w:val="21"/>
              </w:rPr>
              <w:t>The History of Ancient China</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ARCH20013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文物保护基础</w:t>
            </w:r>
            <w:r>
              <w:br/>
            </w:r>
            <w:r>
              <w:rPr>
                <w:rFonts w:ascii="SimSun" w:hAnsi="SimSun"/>
                <w:b w:val="false"/>
                <w:i w:val="false"/>
                <w:color w:val="000000"/>
                <w:sz w:val="21"/>
              </w:rPr>
              <w:t>Basics of Cultural Relic Conservation</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CULT20001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博物馆学概论</w:t>
            </w:r>
            <w:r>
              <w:br/>
            </w:r>
            <w:r>
              <w:rPr>
                <w:rFonts w:ascii="SimSun" w:hAnsi="SimSun"/>
                <w:b w:val="false"/>
                <w:i w:val="false"/>
                <w:color w:val="000000"/>
                <w:sz w:val="21"/>
              </w:rPr>
              <w:t>Introduction to Museology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MUSE20001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文化遗产导论</w:t>
            </w:r>
            <w:r>
              <w:br/>
            </w:r>
            <w:r>
              <w:rPr>
                <w:rFonts w:ascii="SimSun" w:hAnsi="SimSun"/>
                <w:b w:val="false"/>
                <w:i w:val="false"/>
                <w:color w:val="000000"/>
                <w:sz w:val="21"/>
              </w:rPr>
              <w:t>Introduction to Cultural Heritage</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CULT20002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科技考古导论</w:t>
            </w:r>
            <w:r>
              <w:br/>
            </w:r>
            <w:r>
              <w:rPr>
                <w:rFonts w:ascii="SimSun" w:hAnsi="SimSun"/>
                <w:b w:val="false"/>
                <w:i w:val="false"/>
                <w:color w:val="000000"/>
                <w:sz w:val="21"/>
              </w:rPr>
              <w:t>Introduction to Archaeological Science and Technology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非物质文化遗产导论</w:t>
            </w:r>
            <w:r>
              <w:br/>
            </w:r>
            <w:r>
              <w:rPr>
                <w:rFonts w:ascii="SimSun" w:hAnsi="SimSun"/>
                <w:b w:val="false"/>
                <w:i w:val="false"/>
                <w:color w:val="000000"/>
                <w:sz w:val="21"/>
              </w:rPr>
              <w:t>Introduction to Intangible Cultural Heritage</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CULT20004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文物研究导论</w:t>
            </w:r>
            <w:r>
              <w:br/>
            </w:r>
            <w:r>
              <w:rPr>
                <w:rFonts w:ascii="SimSun" w:hAnsi="SimSun"/>
                <w:b w:val="false"/>
                <w:i w:val="false"/>
                <w:color w:val="000000"/>
                <w:sz w:val="21"/>
              </w:rPr>
              <w:t>Introduction to the Study of Cultural Relics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CULT20005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博物馆经营管理</w:t>
            </w:r>
            <w:r>
              <w:br/>
            </w:r>
            <w:r>
              <w:rPr>
                <w:rFonts w:ascii="SimSun" w:hAnsi="SimSun"/>
                <w:b w:val="false"/>
                <w:i w:val="false"/>
                <w:color w:val="000000"/>
                <w:sz w:val="21"/>
              </w:rPr>
              <w:t>Museum Management</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MUSE20002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专业论文写作</w:t>
            </w:r>
            <w:r>
              <w:br/>
            </w:r>
            <w:r>
              <w:rPr>
                <w:rFonts w:ascii="SimSun" w:hAnsi="SimSun"/>
                <w:b w:val="false"/>
                <w:i w:val="false"/>
                <w:color w:val="000000"/>
                <w:sz w:val="21"/>
              </w:rPr>
              <w:t>Academic Thesis Writing</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博物馆职业伦理与法规</w:t>
            </w:r>
            <w:r>
              <w:br/>
            </w:r>
            <w:r>
              <w:rPr>
                <w:rFonts w:ascii="SimSun" w:hAnsi="SimSun"/>
                <w:b w:val="false"/>
                <w:i w:val="false"/>
                <w:color w:val="000000"/>
                <w:sz w:val="21"/>
              </w:rPr>
              <w:t>Museum Ethics and Legislation</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MUSE20003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专业英语</w:t>
            </w:r>
            <w:r>
              <w:br/>
            </w:r>
            <w:r>
              <w:rPr>
                <w:rFonts w:ascii="SimSun" w:hAnsi="SimSun"/>
                <w:b w:val="false"/>
                <w:i w:val="false"/>
                <w:color w:val="000000"/>
                <w:sz w:val="21"/>
              </w:rPr>
              <w:t>Professional English</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0.9</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包括专业进阶（含荣誉项目）、跨学科发展、辅修学士学位项目、创新创业等不同路径，要求在院系专业导师指导下选择1条发展路径，按路径要求修读课程。
      </w:t>
      </w:r>
    </w:p>
    <w:p>
      <w:pPr>
        <w:spacing w:after="0"/>
        <w:ind w:left="0"/>
        <w:jc w:val="left"/>
      </w:pPr>
      <w:r>
        <w:rPr>
          <w:rFonts w:ascii="SimSun" w:hAnsi="SimSun"/>
          <w:b/>
          <w:i w:val="false"/>
          <w:color w:val="000000"/>
          <w:sz w:val="21"/>
        </w:rPr>
        <w:t xml:space="preserve">
       1.  专业进阶路径（30学分）
      </w:t>
      </w:r>
    </w:p>
    <w:p>
      <w:pPr>
        <w:spacing w:after="0"/>
        <w:ind w:left="0"/>
        <w:jc w:val="left"/>
      </w:pPr>
      <w:r>
        <w:rPr>
          <w:rFonts w:ascii="SimSun" w:hAnsi="SimSun"/>
          <w:b w:val="false"/>
          <w:i w:val="false"/>
          <w:color w:val="000000"/>
          <w:sz w:val="21"/>
        </w:rPr>
        <w:t xml:space="preserve">
       修满30学分。要求在本专业进阶课程或荣誉课程中修读（其中专业进阶I和专业进阶II分别修读15学分）。  
      </w:t>
      </w:r>
    </w:p>
    <w:p>
      <w:pPr>
        <w:spacing w:after="0"/>
        <w:ind w:left="0"/>
        <w:jc w:val="left"/>
      </w:pPr>
      <w:r>
        <w:rPr>
          <w:rFonts w:ascii="SimSun" w:hAnsi="SimSun"/>
          <w:b/>
          <w:i w:val="false"/>
          <w:color w:val="000000"/>
          <w:sz w:val="21"/>
        </w:rPr>
        <w:t xml:space="preserve">
       (1) 专业进阶模块I（15学分）
      </w:t>
      </w:r>
    </w:p>
    <w:tbl>
      <w:tblPr>
        <w:tblW w:w="0" w:type="auto"/>
        <w:tblCellSpacing w:w="0" w:type="auto"/>
        <w:tblBorders>
          <w:top w:val="none"/>
          <w:left w:val="none"/>
          <w:bottom w:val="none"/>
          <w:right w:val="none"/>
          <w:insideH w:val="none"/>
          <w:insideV w:val="none"/>
        </w:tblBorders>
      </w:tblPr>
      <w:tblGrid>
        <w:gridCol w:w="2035"/>
        <w:gridCol w:w="2722"/>
        <w:gridCol w:w="680"/>
        <w:gridCol w:w="681"/>
        <w:gridCol w:w="950"/>
        <w:gridCol w:w="1538"/>
        <w:gridCol w:w="680"/>
        <w:gridCol w:w="680"/>
        <w:gridCol w:w="680"/>
        <w:gridCol w:w="679"/>
        <w:gridCol w:w="951"/>
        <w:gridCol w:w="1358"/>
      </w:tblGrid>
      <w:tr>
        <w:trPr>
          <w:trHeight w:val="45" w:hRule="atLeast"/>
        </w:trPr>
        <w:tc>
          <w:tcPr>
            <w:tcW w:w="20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5"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博物馆学</w:t>
            </w:r>
            <w:r>
              <w:rPr>
                <w:rFonts w:ascii="SimSun" w:hAnsi="SimSun"/>
                <w:b w:val="false"/>
                <w:i w:val="false"/>
                <w:color w:val="000000"/>
                <w:sz w:val="21"/>
              </w:rPr>
              <w:t xml:space="preserve">
                      </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博物馆藏品管理</w:t>
            </w:r>
            <w:r>
              <w:br/>
            </w:r>
            <w:r>
              <w:rPr>
                <w:rFonts w:ascii="SimSun" w:hAnsi="SimSun"/>
                <w:b w:val="false"/>
                <w:i w:val="false"/>
                <w:color w:val="000000"/>
                <w:sz w:val="21"/>
              </w:rPr>
              <w:t>Management of Museum Collections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0.7</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展览形式设计</w:t>
            </w:r>
            <w:r>
              <w:br/>
            </w:r>
            <w:r>
              <w:rPr>
                <w:rFonts w:ascii="SimSun" w:hAnsi="SimSun"/>
                <w:b w:val="false"/>
                <w:i w:val="false"/>
                <w:color w:val="000000"/>
                <w:sz w:val="21"/>
              </w:rPr>
              <w:t>Formal Design of Museum Display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展览内容策划</w:t>
            </w:r>
            <w:r>
              <w:br/>
            </w:r>
            <w:r>
              <w:rPr>
                <w:rFonts w:ascii="SimSun" w:hAnsi="SimSun"/>
                <w:b w:val="false"/>
                <w:i w:val="false"/>
                <w:color w:val="000000"/>
                <w:sz w:val="21"/>
              </w:rPr>
              <w:t>Exhibition Content Planning</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博物馆教育</w:t>
            </w:r>
            <w:r>
              <w:br/>
            </w:r>
            <w:r>
              <w:rPr>
                <w:rFonts w:ascii="SimSun" w:hAnsi="SimSun"/>
                <w:b w:val="false"/>
                <w:i w:val="false"/>
                <w:color w:val="000000"/>
                <w:sz w:val="21"/>
              </w:rPr>
              <w:t>Museum Education</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MUSE30004</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博物馆国际交流与合作</w:t>
            </w:r>
            <w:r>
              <w:br/>
            </w:r>
            <w:r>
              <w:rPr>
                <w:rFonts w:ascii="SimSun" w:hAnsi="SimSun"/>
                <w:b w:val="false"/>
                <w:i w:val="false"/>
                <w:color w:val="000000"/>
                <w:sz w:val="21"/>
              </w:rPr>
              <w:t>The International Work of Museums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5"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文物学</w:t>
            </w:r>
            <w:r>
              <w:rPr>
                <w:rFonts w:ascii="SimSun" w:hAnsi="SimSun"/>
                <w:b w:val="false"/>
                <w:i w:val="false"/>
                <w:color w:val="000000"/>
                <w:sz w:val="21"/>
              </w:rPr>
              <w:t xml:space="preserve">
                      </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中国绘画史</w:t>
            </w:r>
            <w:r>
              <w:br/>
            </w:r>
            <w:r>
              <w:rPr>
                <w:rFonts w:ascii="SimSun" w:hAnsi="SimSun"/>
                <w:b w:val="false"/>
                <w:i w:val="false"/>
                <w:color w:val="000000"/>
                <w:sz w:val="21"/>
              </w:rPr>
              <w:t>History of Chinese Paintings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CULT30004</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中国青铜器</w:t>
            </w:r>
            <w:r>
              <w:br/>
            </w:r>
            <w:r>
              <w:rPr>
                <w:rFonts w:ascii="SimSun" w:hAnsi="SimSun"/>
                <w:b w:val="false"/>
                <w:i w:val="false"/>
                <w:color w:val="000000"/>
                <w:sz w:val="21"/>
              </w:rPr>
              <w:t>Chinese Bronzeware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中国陶瓷史</w:t>
            </w:r>
            <w:r>
              <w:br/>
            </w:r>
            <w:r>
              <w:rPr>
                <w:rFonts w:ascii="SimSun" w:hAnsi="SimSun"/>
                <w:b w:val="false"/>
                <w:i w:val="false"/>
                <w:color w:val="000000"/>
                <w:sz w:val="21"/>
              </w:rPr>
              <w:t>History of Chinese Ceramics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CULT30006</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中国玉器</w:t>
            </w:r>
            <w:r>
              <w:br/>
            </w:r>
            <w:r>
              <w:rPr>
                <w:rFonts w:ascii="SimSun" w:hAnsi="SimSun"/>
                <w:b w:val="false"/>
                <w:i w:val="false"/>
                <w:color w:val="000000"/>
                <w:sz w:val="21"/>
              </w:rPr>
              <w:t>Chinese Jadeware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中国钱币学</w:t>
            </w:r>
            <w:r>
              <w:br/>
            </w:r>
            <w:r>
              <w:rPr>
                <w:rFonts w:ascii="SimSun" w:hAnsi="SimSun"/>
                <w:b w:val="false"/>
                <w:i w:val="false"/>
                <w:color w:val="000000"/>
                <w:sz w:val="21"/>
              </w:rPr>
              <w:t>China's Numismatics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CULT30008</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中国美术考古</w:t>
            </w:r>
            <w:r>
              <w:br/>
            </w:r>
            <w:r>
              <w:rPr>
                <w:rFonts w:ascii="SimSun" w:hAnsi="SimSun"/>
                <w:b w:val="false"/>
                <w:i w:val="false"/>
                <w:color w:val="000000"/>
                <w:sz w:val="21"/>
              </w:rPr>
              <w:t>Chinese Art and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5"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文化遗产</w:t>
            </w:r>
            <w:r>
              <w:rPr>
                <w:rFonts w:ascii="SimSun" w:hAnsi="SimSun"/>
                <w:b w:val="false"/>
                <w:i w:val="false"/>
                <w:color w:val="000000"/>
                <w:sz w:val="21"/>
              </w:rPr>
              <w:t xml:space="preserve">
                      </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文化遗产管理与法规</w:t>
            </w:r>
            <w:r>
              <w:br/>
            </w:r>
            <w:r>
              <w:rPr>
                <w:rFonts w:ascii="SimSun" w:hAnsi="SimSun"/>
                <w:b w:val="false"/>
                <w:i w:val="false"/>
                <w:color w:val="000000"/>
                <w:sz w:val="21"/>
              </w:rPr>
              <w:t>Management and Regulation of Cultural Heritage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文化遗产类型</w:t>
            </w:r>
            <w:r>
              <w:br/>
            </w:r>
            <w:r>
              <w:rPr>
                <w:rFonts w:ascii="SimSun" w:hAnsi="SimSun"/>
                <w:b w:val="false"/>
                <w:i w:val="false"/>
                <w:color w:val="000000"/>
                <w:sz w:val="21"/>
              </w:rPr>
              <w:t>Introduction to Cultural Heritage Category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CULT30017</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5"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文物保护</w:t>
            </w:r>
            <w:r>
              <w:rPr>
                <w:rFonts w:ascii="SimSun" w:hAnsi="SimSun"/>
                <w:b w:val="false"/>
                <w:i w:val="false"/>
                <w:color w:val="000000"/>
                <w:sz w:val="21"/>
              </w:rPr>
              <w:t xml:space="preserve">
                      </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文物保护技术</w:t>
            </w:r>
            <w:r>
              <w:br/>
            </w:r>
            <w:r>
              <w:rPr>
                <w:rFonts w:ascii="SimSun" w:hAnsi="SimSun"/>
                <w:b w:val="false"/>
                <w:i w:val="false"/>
                <w:color w:val="000000"/>
                <w:sz w:val="21"/>
              </w:rPr>
              <w:t>Techniques of Cultural Relics Conservation</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文物分析技术</w:t>
            </w:r>
            <w:r>
              <w:br/>
            </w:r>
            <w:r>
              <w:rPr>
                <w:rFonts w:ascii="SimSun" w:hAnsi="SimSun"/>
                <w:b w:val="false"/>
                <w:i w:val="false"/>
                <w:color w:val="000000"/>
                <w:sz w:val="21"/>
              </w:rPr>
              <w:t>Analyzing Techniques of Cultural Relics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文物修复</w:t>
            </w:r>
            <w:r>
              <w:br/>
            </w:r>
            <w:r>
              <w:rPr>
                <w:rFonts w:ascii="SimSun" w:hAnsi="SimSun"/>
                <w:b w:val="false"/>
                <w:i w:val="false"/>
                <w:color w:val="000000"/>
                <w:sz w:val="21"/>
              </w:rPr>
              <w:t>Restoration of Cultural Relics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CULT30019</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5"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考古学</w:t>
            </w:r>
            <w:r>
              <w:rPr>
                <w:rFonts w:ascii="SimSun" w:hAnsi="SimSun"/>
                <w:b w:val="false"/>
                <w:i w:val="false"/>
                <w:color w:val="000000"/>
                <w:sz w:val="21"/>
              </w:rPr>
              <w:t xml:space="preserve">
                      </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旧石器时代考古</w:t>
            </w:r>
            <w:r>
              <w:br/>
            </w:r>
            <w:r>
              <w:rPr>
                <w:rFonts w:ascii="SimSun" w:hAnsi="SimSun"/>
                <w:b w:val="false"/>
                <w:i w:val="false"/>
                <w:color w:val="000000"/>
                <w:sz w:val="21"/>
              </w:rPr>
              <w:t>Paleolithic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ARCH20006</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新石器时代考古</w:t>
            </w:r>
            <w:r>
              <w:br/>
            </w:r>
            <w:r>
              <w:rPr>
                <w:rFonts w:ascii="SimSun" w:hAnsi="SimSun"/>
                <w:b w:val="false"/>
                <w:i w:val="false"/>
                <w:color w:val="000000"/>
                <w:sz w:val="21"/>
              </w:rPr>
              <w:t>Neolithic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ARCH20007</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夏商周考古</w:t>
            </w:r>
            <w:r>
              <w:br/>
            </w:r>
            <w:r>
              <w:rPr>
                <w:rFonts w:ascii="SimSun" w:hAnsi="SimSun"/>
                <w:b w:val="false"/>
                <w:i w:val="false"/>
                <w:color w:val="000000"/>
                <w:sz w:val="21"/>
              </w:rPr>
              <w:t>Archaeology of Xia, Shang and Zhou Dynasties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汉唐考古</w:t>
            </w:r>
            <w:r>
              <w:br/>
            </w:r>
            <w:r>
              <w:rPr>
                <w:rFonts w:ascii="SimSun" w:hAnsi="SimSun"/>
                <w:b w:val="false"/>
                <w:i w:val="false"/>
                <w:color w:val="000000"/>
                <w:sz w:val="21"/>
              </w:rPr>
              <w:t>Archaeology of Han and Tang Dynasties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宋元明考古</w:t>
            </w:r>
            <w:r>
              <w:br/>
            </w:r>
            <w:r>
              <w:rPr>
                <w:rFonts w:ascii="SimSun" w:hAnsi="SimSun"/>
                <w:b w:val="false"/>
                <w:i w:val="false"/>
                <w:color w:val="000000"/>
                <w:sz w:val="21"/>
              </w:rPr>
              <w:t>Archaeology of Song, Yuan and Ming Dynasties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ARCH20004</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田野考古学</w:t>
            </w:r>
            <w:r>
              <w:br/>
            </w:r>
            <w:r>
              <w:rPr>
                <w:rFonts w:ascii="SimSun" w:hAnsi="SimSun"/>
                <w:b w:val="false"/>
                <w:i w:val="false"/>
                <w:color w:val="000000"/>
                <w:sz w:val="21"/>
              </w:rPr>
              <w:t>Field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ARCH20008</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田野考古技术</w:t>
            </w:r>
            <w:r>
              <w:br/>
            </w:r>
            <w:r>
              <w:rPr>
                <w:rFonts w:ascii="SimSun" w:hAnsi="SimSun"/>
                <w:b w:val="false"/>
                <w:i w:val="false"/>
                <w:color w:val="000000"/>
                <w:sz w:val="21"/>
              </w:rPr>
              <w:t>Field Archaeological Skills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ARCH20017</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世界考古概论</w:t>
            </w:r>
            <w:r>
              <w:br/>
            </w:r>
            <w:r>
              <w:rPr>
                <w:rFonts w:ascii="SimSun" w:hAnsi="SimSun"/>
                <w:b w:val="false"/>
                <w:i w:val="false"/>
                <w:color w:val="000000"/>
                <w:sz w:val="21"/>
              </w:rPr>
              <w:t>Introduction to World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AI考古理论与实践</w:t>
            </w:r>
            <w:r>
              <w:br/>
            </w:r>
            <w:r>
              <w:rPr>
                <w:rFonts w:ascii="SimSun" w:hAnsi="SimSun"/>
                <w:b w:val="false"/>
                <w:i w:val="false"/>
                <w:color w:val="000000"/>
                <w:sz w:val="21"/>
              </w:rPr>
              <w:t>Theoretical and Practical Applications of AI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考古统计学</w:t>
            </w:r>
            <w:r>
              <w:br/>
            </w:r>
            <w:r>
              <w:rPr>
                <w:rFonts w:ascii="SimSun" w:hAnsi="SimSun"/>
                <w:b w:val="false"/>
                <w:i w:val="false"/>
                <w:color w:val="000000"/>
                <w:sz w:val="21"/>
              </w:rPr>
              <w:t>Archaeological Statistics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中国历史地理概论</w:t>
            </w:r>
            <w:r>
              <w:br/>
            </w:r>
            <w:r>
              <w:rPr>
                <w:rFonts w:ascii="SimSun" w:hAnsi="SimSun"/>
                <w:b w:val="false"/>
                <w:i w:val="false"/>
                <w:color w:val="000000"/>
                <w:sz w:val="21"/>
              </w:rPr>
              <w:t>Historical Geography of China</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HIST30009</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田野考古实践训练</w:t>
            </w:r>
            <w:r>
              <w:br/>
            </w:r>
            <w:r>
              <w:rPr>
                <w:rFonts w:ascii="SimSun" w:hAnsi="SimSun"/>
                <w:b w:val="false"/>
                <w:i w:val="false"/>
                <w:color w:val="000000"/>
                <w:sz w:val="21"/>
              </w:rPr>
              <w:t>Field Archaeology Practical Training</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5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ARCH30015</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暑期</w:t>
            </w:r>
          </w:p>
        </w:tc>
        <w:tc>
          <w:tcPr>
            <w:tcW w:w="9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专业进阶模块II（15学分）
      </w:t>
      </w:r>
    </w:p>
    <w:tbl>
      <w:tblPr>
        <w:tblW w:w="0" w:type="auto"/>
        <w:tblCellSpacing w:w="0" w:type="auto"/>
        <w:tblBorders>
          <w:top w:val="none"/>
          <w:left w:val="none"/>
          <w:bottom w:val="none"/>
          <w:right w:val="none"/>
          <w:insideH w:val="none"/>
          <w:insideV w:val="none"/>
        </w:tblBorders>
      </w:tblPr>
      <w:tblGrid>
        <w:gridCol w:w="2033"/>
        <w:gridCol w:w="2724"/>
        <w:gridCol w:w="680"/>
        <w:gridCol w:w="681"/>
        <w:gridCol w:w="950"/>
        <w:gridCol w:w="1538"/>
        <w:gridCol w:w="680"/>
        <w:gridCol w:w="680"/>
        <w:gridCol w:w="680"/>
        <w:gridCol w:w="679"/>
        <w:gridCol w:w="951"/>
        <w:gridCol w:w="1358"/>
      </w:tblGrid>
      <w:tr>
        <w:trPr>
          <w:trHeight w:val="45" w:hRule="atLeast"/>
        </w:trPr>
        <w:tc>
          <w:tcPr>
            <w:tcW w:w="203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3"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博物馆学</w:t>
            </w:r>
            <w:r>
              <w:rPr>
                <w:rFonts w:ascii="SimSun" w:hAnsi="SimSun"/>
                <w:b w:val="false"/>
                <w:i w:val="false"/>
                <w:color w:val="000000"/>
                <w:sz w:val="21"/>
              </w:rPr>
              <w:t xml:space="preserve">
                      </w:t>
            </w: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儿童博物馆概论</w:t>
            </w:r>
            <w:r>
              <w:br/>
            </w:r>
            <w:r>
              <w:rPr>
                <w:rFonts w:ascii="SimSun" w:hAnsi="SimSun"/>
                <w:b w:val="false"/>
                <w:i w:val="false"/>
                <w:color w:val="000000"/>
                <w:sz w:val="21"/>
              </w:rPr>
              <w:t>Introduction to Children’s Museum</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MUSE30006</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博物馆展览说明文字研究</w:t>
            </w:r>
            <w:r>
              <w:br/>
            </w:r>
            <w:r>
              <w:rPr>
                <w:rFonts w:ascii="SimSun" w:hAnsi="SimSun"/>
                <w:b w:val="false"/>
                <w:i w:val="false"/>
                <w:color w:val="000000"/>
                <w:sz w:val="21"/>
              </w:rPr>
              <w:t>Introduction to Exhibit Labels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MUSE30007</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自然博物馆理论与实务</w:t>
            </w:r>
            <w:r>
              <w:br/>
            </w:r>
            <w:r>
              <w:rPr>
                <w:rFonts w:ascii="SimSun" w:hAnsi="SimSun"/>
                <w:b w:val="false"/>
                <w:i w:val="false"/>
                <w:color w:val="000000"/>
                <w:sz w:val="21"/>
              </w:rPr>
              <w:t>The Natural History Museum in Theory and Practice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MUSE30008</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3"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文物学</w:t>
            </w:r>
            <w:r>
              <w:rPr>
                <w:rFonts w:ascii="SimSun" w:hAnsi="SimSun"/>
                <w:b w:val="false"/>
                <w:i w:val="false"/>
                <w:color w:val="000000"/>
                <w:sz w:val="21"/>
              </w:rPr>
              <w:t xml:space="preserve">
                      </w:t>
            </w: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中国墓葬艺术导论</w:t>
            </w:r>
            <w:r>
              <w:br/>
            </w:r>
            <w:r>
              <w:rPr>
                <w:rFonts w:ascii="SimSun" w:hAnsi="SimSun"/>
                <w:b w:val="false"/>
                <w:i w:val="false"/>
                <w:color w:val="000000"/>
                <w:sz w:val="21"/>
              </w:rPr>
              <w:t>History of Chinese Funerary Art</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中国古典园林史</w:t>
            </w:r>
            <w:r>
              <w:br/>
            </w:r>
            <w:r>
              <w:rPr>
                <w:rFonts w:ascii="SimSun" w:hAnsi="SimSun"/>
                <w:b w:val="false"/>
                <w:i w:val="false"/>
                <w:color w:val="000000"/>
                <w:sz w:val="21"/>
              </w:rPr>
              <w:t>Development History of Traditional Chinese Gardens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CULT30016</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中国古代青瓷</w:t>
            </w:r>
            <w:r>
              <w:br/>
            </w:r>
            <w:r>
              <w:rPr>
                <w:rFonts w:ascii="SimSun" w:hAnsi="SimSun"/>
                <w:b w:val="false"/>
                <w:i w:val="false"/>
                <w:color w:val="000000"/>
                <w:sz w:val="21"/>
              </w:rPr>
              <w:t>Ancient Chinese Celadon</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中国漆器史</w:t>
            </w:r>
            <w:r>
              <w:br/>
            </w:r>
            <w:r>
              <w:rPr>
                <w:rFonts w:ascii="SimSun" w:hAnsi="SimSun"/>
                <w:b w:val="false"/>
                <w:i w:val="false"/>
                <w:color w:val="000000"/>
                <w:sz w:val="21"/>
              </w:rPr>
              <w:t>History of Chinese Lacquerware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3"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文化遗产</w:t>
            </w:r>
            <w:r>
              <w:rPr>
                <w:rFonts w:ascii="SimSun" w:hAnsi="SimSun"/>
                <w:b w:val="false"/>
                <w:i w:val="false"/>
                <w:color w:val="000000"/>
                <w:sz w:val="21"/>
              </w:rPr>
              <w:t xml:space="preserve">
                      </w:t>
            </w: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中国古代建筑史</w:t>
            </w:r>
            <w:r>
              <w:br/>
            </w:r>
            <w:r>
              <w:rPr>
                <w:rFonts w:ascii="SimSun" w:hAnsi="SimSun"/>
                <w:b w:val="false"/>
                <w:i w:val="false"/>
                <w:color w:val="000000"/>
                <w:sz w:val="21"/>
              </w:rPr>
              <w:t>History of Architectural Development in Ancient China</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CULT30007</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世界遗产概论</w:t>
            </w:r>
            <w:r>
              <w:br/>
            </w:r>
            <w:r>
              <w:rPr>
                <w:rFonts w:ascii="SimSun" w:hAnsi="SimSun"/>
                <w:b w:val="false"/>
                <w:i w:val="false"/>
                <w:color w:val="000000"/>
                <w:sz w:val="21"/>
              </w:rPr>
              <w:t>Introduction to World Heritage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CULT30021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文物保护</w:t>
            </w:r>
            <w:r>
              <w:rPr>
                <w:rFonts w:ascii="SimSun" w:hAnsi="SimSun"/>
                <w:b w:val="false"/>
                <w:i w:val="false"/>
                <w:color w:val="000000"/>
                <w:sz w:val="21"/>
              </w:rPr>
              <w:t xml:space="preserve">
                      </w:t>
            </w: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中国科技史概论</w:t>
            </w:r>
            <w:r>
              <w:br/>
            </w:r>
            <w:r>
              <w:rPr>
                <w:rFonts w:ascii="SimSun" w:hAnsi="SimSun"/>
                <w:b w:val="false"/>
                <w:i w:val="false"/>
                <w:color w:val="000000"/>
                <w:sz w:val="21"/>
              </w:rPr>
              <w:t>Introduction to History of Science and Technology in China</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CULT30009</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3"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考古学</w:t>
            </w:r>
            <w:r>
              <w:rPr>
                <w:rFonts w:ascii="SimSun" w:hAnsi="SimSun"/>
                <w:b w:val="false"/>
                <w:i w:val="false"/>
                <w:color w:val="000000"/>
                <w:sz w:val="21"/>
              </w:rPr>
              <w:t xml:space="preserve">
                      </w:t>
            </w: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考古学思想史</w:t>
            </w:r>
            <w:r>
              <w:br/>
            </w:r>
            <w:r>
              <w:rPr>
                <w:rFonts w:ascii="SimSun" w:hAnsi="SimSun"/>
                <w:b w:val="false"/>
                <w:i w:val="false"/>
                <w:color w:val="000000"/>
                <w:sz w:val="21"/>
              </w:rPr>
              <w:t>History of Archaeological Thought</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ARCH30007</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东亚史前考古</w:t>
            </w:r>
            <w:r>
              <w:br/>
            </w:r>
            <w:r>
              <w:rPr>
                <w:rFonts w:ascii="SimSun" w:hAnsi="SimSun"/>
                <w:b w:val="false"/>
                <w:i w:val="false"/>
                <w:color w:val="000000"/>
                <w:sz w:val="21"/>
              </w:rPr>
              <w:t>Prehistory in East Asia</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ARCH30009</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动物考古学</w:t>
            </w:r>
            <w:r>
              <w:br/>
            </w:r>
            <w:r>
              <w:rPr>
                <w:rFonts w:ascii="SimSun" w:hAnsi="SimSun"/>
                <w:b w:val="false"/>
                <w:i w:val="false"/>
                <w:color w:val="000000"/>
                <w:sz w:val="21"/>
              </w:rPr>
              <w:t>Zooarchaeology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植物考古学</w:t>
            </w:r>
            <w:r>
              <w:br/>
            </w:r>
            <w:r>
              <w:rPr>
                <w:rFonts w:ascii="SimSun" w:hAnsi="SimSun"/>
                <w:b w:val="false"/>
                <w:i w:val="false"/>
                <w:color w:val="000000"/>
                <w:sz w:val="21"/>
              </w:rPr>
              <w:t>Palaeoethnobotany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陶瓷考古</w:t>
            </w:r>
            <w:r>
              <w:br/>
            </w:r>
            <w:r>
              <w:rPr>
                <w:rFonts w:ascii="SimSun" w:hAnsi="SimSun"/>
                <w:b w:val="false"/>
                <w:i w:val="false"/>
                <w:color w:val="000000"/>
                <w:sz w:val="21"/>
              </w:rPr>
              <w:t>Ceramic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饮食考古</w:t>
            </w:r>
            <w:r>
              <w:br/>
            </w:r>
            <w:r>
              <w:rPr>
                <w:rFonts w:ascii="SimSun" w:hAnsi="SimSun"/>
                <w:b w:val="false"/>
                <w:i w:val="false"/>
                <w:color w:val="000000"/>
                <w:sz w:val="21"/>
              </w:rPr>
              <w:t>Archaeology of Food</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ARCH30014</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分子考古学</w:t>
            </w:r>
            <w:r>
              <w:br/>
            </w:r>
            <w:r>
              <w:rPr>
                <w:rFonts w:ascii="SimSun" w:hAnsi="SimSun"/>
                <w:b w:val="false"/>
                <w:i w:val="false"/>
                <w:color w:val="000000"/>
                <w:sz w:val="21"/>
              </w:rPr>
              <w:t>Molecular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ARCH40007</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体质人类学</w:t>
            </w:r>
            <w:r>
              <w:br/>
            </w:r>
            <w:r>
              <w:rPr>
                <w:rFonts w:ascii="SimSun" w:hAnsi="SimSun"/>
                <w:b w:val="false"/>
                <w:i w:val="false"/>
                <w:color w:val="000000"/>
                <w:sz w:val="21"/>
              </w:rPr>
              <w:t>Physical Anthropology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同位素考古</w:t>
            </w:r>
            <w:r>
              <w:br/>
            </w:r>
            <w:r>
              <w:rPr>
                <w:rFonts w:ascii="SimSun" w:hAnsi="SimSun"/>
                <w:b w:val="false"/>
                <w:i w:val="false"/>
                <w:color w:val="000000"/>
                <w:sz w:val="21"/>
              </w:rPr>
              <w:t>Isotope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ARCH50003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农业考古</w:t>
            </w:r>
            <w:r>
              <w:br/>
            </w:r>
            <w:r>
              <w:rPr>
                <w:rFonts w:ascii="SimSun" w:hAnsi="SimSun"/>
                <w:b w:val="false"/>
                <w:i w:val="false"/>
                <w:color w:val="000000"/>
                <w:sz w:val="21"/>
              </w:rPr>
              <w:t>Agricultural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ARCH50001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石窟寺考古</w:t>
            </w:r>
            <w:r>
              <w:br/>
            </w:r>
            <w:r>
              <w:rPr>
                <w:rFonts w:ascii="SimSun" w:hAnsi="SimSun"/>
                <w:b w:val="false"/>
                <w:i w:val="false"/>
                <w:color w:val="000000"/>
                <w:sz w:val="21"/>
              </w:rPr>
              <w:t>Grotto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ARCH40002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公众考古</w:t>
            </w:r>
            <w:r>
              <w:br/>
            </w:r>
            <w:r>
              <w:rPr>
                <w:rFonts w:ascii="SimSun" w:hAnsi="SimSun"/>
                <w:b w:val="false"/>
                <w:i w:val="false"/>
                <w:color w:val="000000"/>
                <w:sz w:val="21"/>
              </w:rPr>
              <w:t>Public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ARCH50002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冶金考古</w:t>
            </w:r>
            <w:r>
              <w:br/>
            </w:r>
            <w:r>
              <w:rPr>
                <w:rFonts w:ascii="SimSun" w:hAnsi="SimSun"/>
                <w:b w:val="false"/>
                <w:i w:val="false"/>
                <w:color w:val="000000"/>
                <w:sz w:val="21"/>
              </w:rPr>
              <w:t>Archaeometallurgy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ARCH40001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环境考古学</w:t>
            </w:r>
            <w:r>
              <w:br/>
            </w:r>
            <w:r>
              <w:rPr>
                <w:rFonts w:ascii="SimSun" w:hAnsi="SimSun"/>
                <w:b w:val="false"/>
                <w:i w:val="false"/>
                <w:color w:val="000000"/>
                <w:sz w:val="21"/>
              </w:rPr>
              <w:t>Environmental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古人类学</w:t>
            </w:r>
            <w:r>
              <w:br/>
            </w:r>
            <w:r>
              <w:rPr>
                <w:rFonts w:ascii="SimSun" w:hAnsi="SimSun"/>
                <w:b w:val="false"/>
                <w:i w:val="false"/>
                <w:color w:val="000000"/>
                <w:sz w:val="21"/>
              </w:rPr>
              <w:t>Paleoanthropology</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ARCH30004</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在专业进阶路径基础上，荣誉项目课程设置和修读要求请见文物与博物馆学系本科“荣誉项目”实施方案。下载地址：https://jwc.fudan.edu.cn/（复旦大学教务处）专业培养-常用文档。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3.  跨学科发展路径（30学分）
      </w:t>
      </w:r>
    </w:p>
    <w:p>
      <w:pPr>
        <w:spacing w:after="0"/>
        <w:ind w:left="0"/>
        <w:jc w:val="left"/>
      </w:pPr>
      <w:r>
        <w:rPr>
          <w:rFonts w:ascii="SimSun" w:hAnsi="SimSun"/>
          <w:b w:val="false"/>
          <w:i w:val="false"/>
          <w:color w:val="000000"/>
          <w:sz w:val="21"/>
        </w:rPr>
        <w:t xml:space="preserve">
       修满30学分。要求修读2个非本专业独立开设的微专业（学程），学分不足部分可在全校所有本科生课程中任意选修。微专业（学程）课程详见教务处微专业项目网页。 
      </w:t>
      </w:r>
    </w:p>
    <w:p>
      <w:pPr>
        <w:spacing w:after="0"/>
        <w:ind w:left="0"/>
        <w:jc w:val="left"/>
      </w:pPr>
      <w:r>
        <w:rPr>
          <w:rFonts w:ascii="SimSun" w:hAnsi="SimSun"/>
          <w:b/>
          <w:i w:val="false"/>
          <w:color w:val="000000"/>
          <w:sz w:val="21"/>
        </w:rPr>
        <w:t xml:space="preserve">
       4.  创新创业路径（30学分）
      </w:t>
      </w:r>
    </w:p>
    <w:p>
      <w:pPr>
        <w:spacing w:after="0"/>
        <w:ind w:left="0"/>
        <w:jc w:val="left"/>
      </w:pPr>
      <w:r>
        <w:rPr>
          <w:rFonts w:ascii="SimSun" w:hAnsi="SimSun"/>
          <w:b w:val="false"/>
          <w:i w:val="false"/>
          <w:color w:val="000000"/>
          <w:sz w:val="21"/>
        </w:rPr>
        <w:t xml:space="preserve">
       修满30学分。要求修读1个创新创业学院开设的创新创业微专业（学程），以及1个非本专业独立开设的微专业（学程）。修读学分不足部分可在全校所有本科生课程中任意选修。创新创业微专业（学程）课程详见教务处网页。 
      </w:t>
      </w:r>
    </w:p>
    <w:p>
      <w:pPr>
        <w:spacing w:after="0"/>
        <w:ind w:left="0"/>
        <w:jc w:val="left"/>
      </w:pPr>
      <w:r>
        <w:rPr>
          <w:rFonts w:ascii="SimSun" w:hAnsi="SimSun"/>
          <w:b/>
          <w:i w:val="false"/>
          <w:color w:val="000000"/>
          <w:sz w:val="21"/>
        </w:rPr>
        <w:t xml:space="preserve">
       5.  辅修学士学位路径（55学分）
      </w:t>
      </w:r>
    </w:p>
    <w:p>
      <w:pPr>
        <w:spacing w:after="0"/>
        <w:ind w:left="0"/>
        <w:jc w:val="left"/>
      </w:pPr>
      <w:r>
        <w:rPr>
          <w:rFonts w:ascii="SimSun" w:hAnsi="SimSun"/>
          <w:b w:val="false"/>
          <w:i w:val="false"/>
          <w:color w:val="000000"/>
          <w:sz w:val="21"/>
        </w:rPr>
        <w:t xml:space="preserve">
       要求修读本专业进阶课程15学分和1个辅修学士学位项目，辅修学士学位应与主修学士学位归属不同的本科专业大类。辅修学士学位项目课程设置详见教务处辅修学士学位项目网页。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多元发展路径中，辅修学士学位项目或专业进阶课程模块均可以冲抵微专业（学程），专业培养和多元发展路径共享的课程只计算一次学分。 
      </w:t>
      </w:r>
    </w:p>
    <w:p>
      <w:pPr>
        <w:spacing w:after="0"/>
        <w:ind w:left="0"/>
        <w:jc w:val="left"/>
      </w:pPr>
      <w:r>
        <w:rPr>
          <w:rFonts w:ascii="SimSun" w:hAnsi="SimSun"/>
          <w:b/>
          <w:i w:val="false"/>
          <w:color w:val="000000"/>
          <w:sz w:val="21"/>
        </w:rPr>
        <w:t xml:space="preserve">
       (四) 融合创新能力（17学分）
      </w:t>
      </w:r>
    </w:p>
    <w:p>
      <w:pPr>
        <w:spacing w:after="0"/>
        <w:ind w:left="0"/>
        <w:jc w:val="left"/>
      </w:pPr>
      <w:r>
        <w:rPr>
          <w:rFonts w:ascii="SimSun" w:hAnsi="SimSun"/>
          <w:b w:val="false"/>
          <w:i w:val="false"/>
          <w:color w:val="000000"/>
          <w:sz w:val="21"/>
        </w:rPr>
        <w:t xml:space="preserve">
       需完成至少17学分（必修13学分，选修4学分）。
      </w:t>
      </w:r>
    </w:p>
    <w:tbl>
      <w:tblPr>
        <w:tblW w:w="0" w:type="auto"/>
        <w:tblCellSpacing w:w="0" w:type="auto"/>
        <w:tblBorders>
          <w:top w:val="none"/>
          <w:left w:val="none"/>
          <w:bottom w:val="none"/>
          <w:right w:val="none"/>
          <w:insideH w:val="none"/>
          <w:insideV w:val="none"/>
        </w:tblBorders>
      </w:tblPr>
      <w:tblGrid>
        <w:gridCol w:w="3203"/>
        <w:gridCol w:w="800"/>
        <w:gridCol w:w="809"/>
        <w:gridCol w:w="1121"/>
        <w:gridCol w:w="1776"/>
        <w:gridCol w:w="800"/>
        <w:gridCol w:w="800"/>
        <w:gridCol w:w="800"/>
        <w:gridCol w:w="800"/>
        <w:gridCol w:w="1122"/>
        <w:gridCol w:w="1603"/>
      </w:tblGrid>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前沿讲座</w:t>
            </w:r>
            <w:r>
              <w:br/>
            </w:r>
            <w:r>
              <w:rPr>
                <w:rFonts w:ascii="SimSun" w:hAnsi="SimSun"/>
                <w:b w:val="false"/>
                <w:i w:val="false"/>
                <w:color w:val="000000"/>
                <w:sz w:val="21"/>
              </w:rPr>
              <w:t>Frontier Lectures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不少于10场，需提交学习报告。</w:t>
            </w: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科研实践I</w:t>
            </w:r>
            <w:r>
              <w:br/>
            </w:r>
            <w:r>
              <w:rPr>
                <w:rFonts w:ascii="SimSun" w:hAnsi="SimSun"/>
                <w:b w:val="false"/>
                <w:i w:val="false"/>
                <w:color w:val="000000"/>
                <w:sz w:val="21"/>
              </w:rPr>
              <w:t>Research Practice I</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文物学科研实践（根据实际由教师招募）</w:t>
            </w: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科研实践II</w:t>
            </w:r>
            <w:r>
              <w:br/>
            </w:r>
            <w:r>
              <w:rPr>
                <w:rFonts w:ascii="SimSun" w:hAnsi="SimSun"/>
                <w:b w:val="false"/>
                <w:i w:val="false"/>
                <w:color w:val="000000"/>
                <w:sz w:val="21"/>
              </w:rPr>
              <w:t>Research Practice II</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文化遗产保护实践（根据实际由教师招募）</w:t>
            </w: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科研实践III</w:t>
            </w:r>
            <w:r>
              <w:br/>
            </w:r>
            <w:r>
              <w:rPr>
                <w:rFonts w:ascii="SimSun" w:hAnsi="SimSun"/>
                <w:b w:val="false"/>
                <w:i w:val="false"/>
                <w:color w:val="000000"/>
                <w:sz w:val="21"/>
              </w:rPr>
              <w:t>Research Practice III</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文物保护实验训练（根据实际由教师招募）</w:t>
            </w: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科研实践Ⅳ</w:t>
            </w:r>
            <w:r>
              <w:br/>
            </w:r>
            <w:r>
              <w:rPr>
                <w:rFonts w:ascii="SimSun" w:hAnsi="SimSun"/>
                <w:b w:val="false"/>
                <w:i w:val="false"/>
                <w:color w:val="000000"/>
                <w:sz w:val="21"/>
              </w:rPr>
              <w:t>Research Practice IV</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田野考古提升训练（根据实际由教师招募）</w:t>
            </w: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鼓励学生承担复芏计划（FDUROP）项目，详见复旦大学本科生学术研究资助计划管理办法。</w:t>
            </w: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ARCH30006</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ARCH30008</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48.0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ARCH40004</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纸质文物修复</w:t>
            </w:r>
            <w:r>
              <w:br/>
            </w:r>
            <w:r>
              <w:rPr>
                <w:rFonts w:ascii="SimSun" w:hAnsi="SimSun"/>
                <w:b w:val="false"/>
                <w:i w:val="false"/>
                <w:color w:val="000000"/>
                <w:sz w:val="21"/>
              </w:rPr>
              <w:t>Restoration of Paper</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CULT30013</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古陶瓷修复</w:t>
            </w:r>
            <w:r>
              <w:br/>
            </w:r>
            <w:r>
              <w:rPr>
                <w:rFonts w:ascii="SimSun" w:hAnsi="SimSun"/>
                <w:b w:val="false"/>
                <w:i w:val="false"/>
                <w:color w:val="000000"/>
                <w:sz w:val="21"/>
              </w:rPr>
              <w:t>Restoration of Ancient Ceramics</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CULT30014</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